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DB6" w:rsidRDefault="00DB5DB6">
      <w:pPr>
        <w:suppressAutoHyphens/>
        <w:jc w:val="center"/>
        <w:rPr>
          <w:spacing w:val="-3"/>
          <w:sz w:val="36"/>
        </w:rPr>
      </w:pPr>
      <w:bookmarkStart w:id="0" w:name="_GoBack"/>
      <w:bookmarkEnd w:id="0"/>
      <w:r w:rsidRPr="008B1712">
        <w:rPr>
          <w:sz w:val="36"/>
          <w14:shadow w14:blurRad="50800" w14:dist="38100" w14:dir="2700000" w14:sx="100000" w14:sy="100000" w14:kx="0" w14:ky="0" w14:algn="tl">
            <w14:srgbClr w14:val="000000">
              <w14:alpha w14:val="60000"/>
            </w14:srgbClr>
          </w14:shadow>
        </w:rPr>
        <w:t>San Joaquin Valley Air Pollution Control District</w:t>
      </w:r>
    </w:p>
    <w:p w:rsidR="00DB5DB6" w:rsidRDefault="00DB5DB6">
      <w:pPr>
        <w:jc w:val="center"/>
        <w:rPr>
          <w:sz w:val="32"/>
        </w:rPr>
      </w:pPr>
      <w:r>
        <w:rPr>
          <w:sz w:val="32"/>
        </w:rPr>
        <w:t>Authority to Construct</w:t>
      </w:r>
    </w:p>
    <w:p w:rsidR="00DB5DB6" w:rsidRDefault="00DB5DB6">
      <w:pPr>
        <w:jc w:val="center"/>
        <w:rPr>
          <w:spacing w:val="-3"/>
          <w:sz w:val="32"/>
        </w:rPr>
      </w:pPr>
      <w:r>
        <w:rPr>
          <w:sz w:val="32"/>
        </w:rPr>
        <w:t>Application Review</w:t>
      </w:r>
    </w:p>
    <w:p w:rsidR="00DB5DB6" w:rsidRDefault="00DB5DB6">
      <w:pPr>
        <w:suppressAutoHyphens/>
        <w:jc w:val="center"/>
        <w:rPr>
          <w:spacing w:val="-3"/>
        </w:rPr>
      </w:pPr>
      <w:r>
        <w:rPr>
          <w:spacing w:val="-3"/>
        </w:rPr>
        <w:t>Soil Decontamination Operation Using Activated Carbon</w:t>
      </w:r>
    </w:p>
    <w:p w:rsidR="00DB5DB6" w:rsidRDefault="00DB5DB6">
      <w:pPr>
        <w:suppressAutoHyphens/>
        <w:jc w:val="center"/>
        <w:rPr>
          <w:spacing w:val="-3"/>
        </w:rPr>
      </w:pPr>
    </w:p>
    <w:tbl>
      <w:tblPr>
        <w:tblW w:w="10350" w:type="dxa"/>
        <w:tblInd w:w="18" w:type="dxa"/>
        <w:tblLayout w:type="fixed"/>
        <w:tblLook w:val="0000" w:firstRow="0" w:lastRow="0" w:firstColumn="0" w:lastColumn="0" w:noHBand="0" w:noVBand="0"/>
      </w:tblPr>
      <w:tblGrid>
        <w:gridCol w:w="2340"/>
        <w:gridCol w:w="3600"/>
        <w:gridCol w:w="1080"/>
        <w:gridCol w:w="810"/>
        <w:gridCol w:w="2520"/>
      </w:tblGrid>
      <w:tr w:rsidR="00DB5DB6">
        <w:trPr>
          <w:cantSplit/>
        </w:trPr>
        <w:tc>
          <w:tcPr>
            <w:tcW w:w="2340" w:type="dxa"/>
            <w:vAlign w:val="center"/>
          </w:tcPr>
          <w:p w:rsidR="00DB5DB6" w:rsidRDefault="00DB5DB6">
            <w:pPr>
              <w:spacing w:before="40" w:after="40"/>
              <w:jc w:val="right"/>
              <w:rPr>
                <w:color w:val="000000"/>
              </w:rPr>
            </w:pPr>
            <w:r>
              <w:rPr>
                <w:color w:val="000000"/>
              </w:rPr>
              <w:t>Facility Name:</w:t>
            </w:r>
          </w:p>
        </w:tc>
        <w:tc>
          <w:tcPr>
            <w:tcW w:w="4680" w:type="dxa"/>
            <w:gridSpan w:val="2"/>
            <w:vAlign w:val="center"/>
          </w:tcPr>
          <w:p w:rsidR="00DB5DB6" w:rsidRDefault="00DB5DB6">
            <w:pPr>
              <w:spacing w:before="40" w:after="40"/>
              <w:rPr>
                <w:color w:val="000000"/>
              </w:rPr>
            </w:pPr>
          </w:p>
        </w:tc>
        <w:tc>
          <w:tcPr>
            <w:tcW w:w="810" w:type="dxa"/>
            <w:vAlign w:val="center"/>
          </w:tcPr>
          <w:p w:rsidR="00DB5DB6" w:rsidRDefault="00DB5DB6">
            <w:pPr>
              <w:spacing w:before="40" w:after="40"/>
              <w:jc w:val="right"/>
              <w:rPr>
                <w:color w:val="000000"/>
              </w:rPr>
            </w:pPr>
            <w:r>
              <w:rPr>
                <w:color w:val="000000"/>
              </w:rPr>
              <w:t>Date:</w:t>
            </w:r>
          </w:p>
        </w:tc>
        <w:tc>
          <w:tcPr>
            <w:tcW w:w="2520" w:type="dxa"/>
            <w:vAlign w:val="center"/>
          </w:tcPr>
          <w:p w:rsidR="00DB5DB6" w:rsidRDefault="00DB5DB6">
            <w:pPr>
              <w:spacing w:before="40" w:after="40"/>
              <w:rPr>
                <w:color w:val="000000"/>
              </w:rPr>
            </w:pPr>
          </w:p>
        </w:tc>
      </w:tr>
      <w:tr w:rsidR="00DB5DB6">
        <w:trPr>
          <w:cantSplit/>
        </w:trPr>
        <w:tc>
          <w:tcPr>
            <w:tcW w:w="2340" w:type="dxa"/>
            <w:vMerge w:val="restart"/>
          </w:tcPr>
          <w:p w:rsidR="00DB5DB6" w:rsidRDefault="00DB5DB6">
            <w:pPr>
              <w:spacing w:before="40" w:after="40"/>
              <w:jc w:val="right"/>
              <w:rPr>
                <w:color w:val="000000"/>
              </w:rPr>
            </w:pPr>
            <w:r>
              <w:rPr>
                <w:color w:val="000000"/>
              </w:rPr>
              <w:t>Mailing Address:</w:t>
            </w:r>
          </w:p>
        </w:tc>
        <w:tc>
          <w:tcPr>
            <w:tcW w:w="3600" w:type="dxa"/>
            <w:vMerge w:val="restart"/>
          </w:tcPr>
          <w:p w:rsidR="00DB5DB6" w:rsidRDefault="00DB5DB6">
            <w:pPr>
              <w:spacing w:before="40" w:after="40"/>
              <w:rPr>
                <w:color w:val="000000"/>
              </w:rPr>
            </w:pPr>
          </w:p>
        </w:tc>
        <w:tc>
          <w:tcPr>
            <w:tcW w:w="1890" w:type="dxa"/>
            <w:gridSpan w:val="2"/>
            <w:vAlign w:val="center"/>
          </w:tcPr>
          <w:p w:rsidR="00DB5DB6" w:rsidRDefault="00DB5DB6">
            <w:pPr>
              <w:spacing w:before="40" w:after="40"/>
              <w:jc w:val="right"/>
              <w:rPr>
                <w:color w:val="000000"/>
              </w:rPr>
            </w:pPr>
            <w:r>
              <w:rPr>
                <w:color w:val="000000"/>
              </w:rPr>
              <w:t>Engineer:</w:t>
            </w:r>
          </w:p>
        </w:tc>
        <w:tc>
          <w:tcPr>
            <w:tcW w:w="2520" w:type="dxa"/>
            <w:vAlign w:val="center"/>
          </w:tcPr>
          <w:p w:rsidR="00DB5DB6" w:rsidRDefault="00DB5DB6">
            <w:pPr>
              <w:spacing w:before="40" w:after="40"/>
              <w:rPr>
                <w:color w:val="000000"/>
              </w:rPr>
            </w:pPr>
          </w:p>
        </w:tc>
      </w:tr>
      <w:tr w:rsidR="00DB5DB6">
        <w:trPr>
          <w:cantSplit/>
        </w:trPr>
        <w:tc>
          <w:tcPr>
            <w:tcW w:w="2340" w:type="dxa"/>
            <w:vMerge/>
          </w:tcPr>
          <w:p w:rsidR="00DB5DB6" w:rsidRDefault="00DB5DB6">
            <w:pPr>
              <w:spacing w:before="40" w:after="40"/>
              <w:jc w:val="right"/>
              <w:rPr>
                <w:color w:val="000000"/>
              </w:rPr>
            </w:pPr>
          </w:p>
        </w:tc>
        <w:tc>
          <w:tcPr>
            <w:tcW w:w="3600" w:type="dxa"/>
            <w:vMerge/>
          </w:tcPr>
          <w:p w:rsidR="00DB5DB6" w:rsidRDefault="00DB5DB6">
            <w:pPr>
              <w:spacing w:before="40" w:after="40"/>
              <w:rPr>
                <w:color w:val="000000"/>
              </w:rPr>
            </w:pPr>
          </w:p>
        </w:tc>
        <w:tc>
          <w:tcPr>
            <w:tcW w:w="1890" w:type="dxa"/>
            <w:gridSpan w:val="2"/>
            <w:vAlign w:val="center"/>
          </w:tcPr>
          <w:p w:rsidR="00DB5DB6" w:rsidRDefault="00DB5DB6">
            <w:pPr>
              <w:spacing w:before="40" w:after="40"/>
              <w:jc w:val="right"/>
              <w:rPr>
                <w:color w:val="000000"/>
              </w:rPr>
            </w:pPr>
            <w:r>
              <w:rPr>
                <w:color w:val="000000"/>
              </w:rPr>
              <w:t>Lead Engineer:</w:t>
            </w:r>
          </w:p>
        </w:tc>
        <w:tc>
          <w:tcPr>
            <w:tcW w:w="2520" w:type="dxa"/>
            <w:vAlign w:val="center"/>
          </w:tcPr>
          <w:p w:rsidR="00DB5DB6" w:rsidRDefault="00DB5DB6">
            <w:pPr>
              <w:spacing w:before="40" w:after="40"/>
              <w:rPr>
                <w:color w:val="000000"/>
              </w:rPr>
            </w:pPr>
          </w:p>
        </w:tc>
      </w:tr>
      <w:tr w:rsidR="00DB5DB6">
        <w:trPr>
          <w:cantSplit/>
        </w:trPr>
        <w:tc>
          <w:tcPr>
            <w:tcW w:w="2340" w:type="dxa"/>
            <w:vAlign w:val="center"/>
          </w:tcPr>
          <w:p w:rsidR="00DB5DB6" w:rsidRDefault="00DB5DB6">
            <w:pPr>
              <w:spacing w:before="40" w:after="40"/>
              <w:jc w:val="right"/>
              <w:rPr>
                <w:color w:val="000000"/>
              </w:rPr>
            </w:pPr>
            <w:r>
              <w:rPr>
                <w:color w:val="000000"/>
              </w:rPr>
              <w:t>Contact Person:</w:t>
            </w:r>
          </w:p>
        </w:tc>
        <w:tc>
          <w:tcPr>
            <w:tcW w:w="8010" w:type="dxa"/>
            <w:gridSpan w:val="4"/>
            <w:vAlign w:val="center"/>
          </w:tcPr>
          <w:p w:rsidR="00DB5DB6" w:rsidRDefault="00DB5DB6">
            <w:pPr>
              <w:spacing w:before="40" w:after="40"/>
              <w:rPr>
                <w:color w:val="000000"/>
              </w:rPr>
            </w:pPr>
          </w:p>
        </w:tc>
      </w:tr>
      <w:tr w:rsidR="00DB5DB6">
        <w:trPr>
          <w:cantSplit/>
        </w:trPr>
        <w:tc>
          <w:tcPr>
            <w:tcW w:w="2340" w:type="dxa"/>
            <w:vAlign w:val="center"/>
          </w:tcPr>
          <w:p w:rsidR="00DB5DB6" w:rsidRDefault="00DB5DB6">
            <w:pPr>
              <w:spacing w:before="40" w:after="40"/>
              <w:jc w:val="right"/>
              <w:rPr>
                <w:color w:val="000000"/>
              </w:rPr>
            </w:pPr>
            <w:r>
              <w:rPr>
                <w:color w:val="000000"/>
              </w:rPr>
              <w:t>Telephone:</w:t>
            </w:r>
          </w:p>
        </w:tc>
        <w:tc>
          <w:tcPr>
            <w:tcW w:w="8010" w:type="dxa"/>
            <w:gridSpan w:val="4"/>
            <w:vAlign w:val="center"/>
          </w:tcPr>
          <w:p w:rsidR="00DB5DB6" w:rsidRDefault="00DB5DB6">
            <w:pPr>
              <w:spacing w:before="40" w:after="40"/>
              <w:rPr>
                <w:color w:val="000000"/>
              </w:rPr>
            </w:pPr>
          </w:p>
        </w:tc>
      </w:tr>
      <w:tr w:rsidR="00DB5DB6">
        <w:trPr>
          <w:cantSplit/>
        </w:trPr>
        <w:tc>
          <w:tcPr>
            <w:tcW w:w="2340" w:type="dxa"/>
            <w:vAlign w:val="center"/>
          </w:tcPr>
          <w:p w:rsidR="00DB5DB6" w:rsidRDefault="00DB5DB6">
            <w:pPr>
              <w:spacing w:before="40" w:after="40"/>
              <w:jc w:val="right"/>
              <w:rPr>
                <w:color w:val="000000"/>
              </w:rPr>
            </w:pPr>
            <w:r>
              <w:rPr>
                <w:color w:val="000000"/>
              </w:rPr>
              <w:t>Application #(s):</w:t>
            </w:r>
          </w:p>
        </w:tc>
        <w:tc>
          <w:tcPr>
            <w:tcW w:w="8010" w:type="dxa"/>
            <w:gridSpan w:val="4"/>
            <w:vAlign w:val="center"/>
          </w:tcPr>
          <w:p w:rsidR="00DB5DB6" w:rsidRDefault="00DB5DB6">
            <w:pPr>
              <w:spacing w:before="40" w:after="40"/>
              <w:rPr>
                <w:color w:val="000000"/>
              </w:rPr>
            </w:pPr>
          </w:p>
        </w:tc>
      </w:tr>
      <w:tr w:rsidR="00DB5DB6">
        <w:trPr>
          <w:cantSplit/>
        </w:trPr>
        <w:tc>
          <w:tcPr>
            <w:tcW w:w="2340" w:type="dxa"/>
            <w:vAlign w:val="center"/>
          </w:tcPr>
          <w:p w:rsidR="00DB5DB6" w:rsidRDefault="00DB5DB6">
            <w:pPr>
              <w:spacing w:before="40" w:after="40"/>
              <w:jc w:val="right"/>
              <w:rPr>
                <w:color w:val="000000"/>
              </w:rPr>
            </w:pPr>
            <w:r>
              <w:rPr>
                <w:color w:val="000000"/>
              </w:rPr>
              <w:t>Project #:</w:t>
            </w:r>
          </w:p>
        </w:tc>
        <w:tc>
          <w:tcPr>
            <w:tcW w:w="8010" w:type="dxa"/>
            <w:gridSpan w:val="4"/>
            <w:vAlign w:val="center"/>
          </w:tcPr>
          <w:p w:rsidR="00DB5DB6" w:rsidRDefault="00DB5DB6">
            <w:pPr>
              <w:spacing w:before="40" w:after="40"/>
              <w:rPr>
                <w:color w:val="000000"/>
              </w:rPr>
            </w:pPr>
          </w:p>
        </w:tc>
      </w:tr>
      <w:tr w:rsidR="00DB5DB6">
        <w:trPr>
          <w:cantSplit/>
        </w:trPr>
        <w:tc>
          <w:tcPr>
            <w:tcW w:w="2340" w:type="dxa"/>
            <w:vAlign w:val="center"/>
          </w:tcPr>
          <w:p w:rsidR="00DB5DB6" w:rsidRDefault="00DB5DB6">
            <w:pPr>
              <w:spacing w:before="40" w:after="40"/>
              <w:jc w:val="right"/>
              <w:rPr>
                <w:noProof/>
                <w:color w:val="000000"/>
              </w:rPr>
            </w:pPr>
            <w:r>
              <w:rPr>
                <w:noProof/>
                <w:color w:val="000000"/>
              </w:rPr>
              <w:t>Deemed Complete:</w:t>
            </w:r>
          </w:p>
        </w:tc>
        <w:tc>
          <w:tcPr>
            <w:tcW w:w="8010" w:type="dxa"/>
            <w:gridSpan w:val="4"/>
            <w:vAlign w:val="center"/>
          </w:tcPr>
          <w:p w:rsidR="00DB5DB6" w:rsidRDefault="00DB5DB6">
            <w:pPr>
              <w:spacing w:before="40" w:after="40"/>
              <w:rPr>
                <w:color w:val="000000"/>
              </w:rPr>
            </w:pPr>
          </w:p>
        </w:tc>
      </w:tr>
    </w:tbl>
    <w:p w:rsidR="00DB5DB6" w:rsidRDefault="008B1712">
      <w:pPr>
        <w:tabs>
          <w:tab w:val="left" w:pos="-720"/>
        </w:tabs>
        <w:suppressAutoHyphens/>
        <w:jc w:val="both"/>
        <w:rPr>
          <w:b/>
          <w:spacing w:val="-3"/>
        </w:rPr>
      </w:pPr>
      <w:r>
        <w:rPr>
          <w:b/>
          <w:noProof/>
          <w:spacing w:val="-3"/>
          <w:sz w:val="20"/>
        </w:rPr>
        <mc:AlternateContent>
          <mc:Choice Requires="wps">
            <w:drawing>
              <wp:anchor distT="0" distB="0" distL="114300" distR="114300" simplePos="0" relativeHeight="251657728" behindDoc="0" locked="0" layoutInCell="1" allowOverlap="1" wp14:anchorId="2E7AFCD3" wp14:editId="3F4208FD">
                <wp:simplePos x="0" y="0"/>
                <wp:positionH relativeFrom="column">
                  <wp:posOffset>-62865</wp:posOffset>
                </wp:positionH>
                <wp:positionV relativeFrom="paragraph">
                  <wp:posOffset>71120</wp:posOffset>
                </wp:positionV>
                <wp:extent cx="66294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50800">
                          <a:solidFill>
                            <a:srgbClr val="FF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6pt" to="517.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" strokecolor="red" strokeweight="4pt">
                <v:stroke startarrowwidth="narrow" startarrowlength="short" endarrowwidth="narrow" endarrowlength="short"/>
              </v:line>
            </w:pict>
          </mc:Fallback>
        </mc:AlternateContent>
      </w:r>
    </w:p>
    <w:p w:rsidR="00DB5DB6" w:rsidRDefault="00DB5DB6">
      <w:pPr>
        <w:pStyle w:val="Heading1"/>
        <w:numPr>
          <w:ilvl w:val="0"/>
          <w:numId w:val="0"/>
        </w:numPr>
      </w:pPr>
    </w:p>
    <w:p w:rsidR="00DB5DB6" w:rsidRDefault="00DB5DB6">
      <w:pPr>
        <w:pStyle w:val="Heading1"/>
        <w:numPr>
          <w:ilvl w:val="0"/>
          <w:numId w:val="4"/>
        </w:numPr>
      </w:pPr>
      <w:r>
        <w:t>Proposal</w:t>
      </w:r>
    </w:p>
    <w:p w:rsidR="00DB5DB6" w:rsidRDefault="00DB5DB6">
      <w:pPr>
        <w:suppressAutoHyphens/>
        <w:jc w:val="both"/>
        <w:rPr>
          <w:b/>
          <w:spacing w:val="-3"/>
        </w:rPr>
      </w:pPr>
    </w:p>
    <w:p w:rsidR="00DB5DB6" w:rsidRDefault="00DB5DB6">
      <w:pPr>
        <w:suppressAutoHyphens/>
        <w:jc w:val="both"/>
        <w:rPr>
          <w:spacing w:val="-3"/>
        </w:rPr>
      </w:pPr>
      <w:r>
        <w:rPr>
          <w:color w:val="0000FF"/>
          <w:spacing w:val="-3"/>
        </w:rPr>
        <w:t>Facility Name</w:t>
      </w:r>
      <w:r>
        <w:rPr>
          <w:spacing w:val="-3"/>
        </w:rPr>
        <w:t xml:space="preserve"> is applying for an Authority to Construct (ATC) permit for a soil decontamination operation served by an activated carbon system. </w:t>
      </w:r>
    </w:p>
    <w:p w:rsidR="00DB5DB6" w:rsidRDefault="00DB5DB6">
      <w:pPr>
        <w:suppressAutoHyphens/>
        <w:jc w:val="both"/>
        <w:rPr>
          <w:color w:val="FF0000"/>
          <w:spacing w:val="-3"/>
        </w:rPr>
      </w:pPr>
      <w:r>
        <w:rPr>
          <w:spacing w:val="-3"/>
        </w:rPr>
        <w:t xml:space="preserve"> </w:t>
      </w:r>
    </w:p>
    <w:p w:rsidR="00DB5DB6" w:rsidRDefault="00DB5DB6">
      <w:pPr>
        <w:suppressAutoHyphens/>
        <w:jc w:val="both"/>
        <w:rPr>
          <w:color w:val="FF0000"/>
          <w:spacing w:val="-3"/>
        </w:rPr>
      </w:pPr>
      <w:r>
        <w:rPr>
          <w:color w:val="FF0000"/>
          <w:spacing w:val="-3"/>
        </w:rPr>
        <w:t>OR</w:t>
      </w:r>
    </w:p>
    <w:p w:rsidR="00DB5DB6" w:rsidRDefault="00DB5DB6">
      <w:pPr>
        <w:suppressAutoHyphens/>
        <w:jc w:val="both"/>
        <w:rPr>
          <w:color w:val="FF0000"/>
          <w:spacing w:val="-3"/>
        </w:rPr>
      </w:pPr>
    </w:p>
    <w:p w:rsidR="00DB5DB6" w:rsidRDefault="00DB5DB6">
      <w:pPr>
        <w:suppressAutoHyphens/>
        <w:jc w:val="both"/>
        <w:rPr>
          <w:color w:val="FF0000"/>
          <w:spacing w:val="-3"/>
        </w:rPr>
      </w:pPr>
      <w:r>
        <w:rPr>
          <w:color w:val="0000FF"/>
          <w:spacing w:val="-3"/>
        </w:rPr>
        <w:t>Facility Name</w:t>
      </w:r>
      <w:r>
        <w:rPr>
          <w:spacing w:val="-3"/>
        </w:rPr>
        <w:t xml:space="preserve"> is applying for an Authority to Construct (ATC) permit to modify their soil</w:t>
      </w:r>
      <w:r>
        <w:rPr>
          <w:color w:val="0000FF"/>
          <w:spacing w:val="-3"/>
        </w:rPr>
        <w:t xml:space="preserve"> </w:t>
      </w:r>
      <w:r>
        <w:rPr>
          <w:spacing w:val="-3"/>
        </w:rPr>
        <w:t>decontamination operation</w:t>
      </w:r>
      <w:r w:rsidR="008B1712">
        <w:rPr>
          <w:spacing w:val="-3"/>
        </w:rPr>
        <w:t xml:space="preserve"> served by an activated carbon system</w:t>
      </w:r>
      <w:r>
        <w:rPr>
          <w:spacing w:val="-3"/>
        </w:rPr>
        <w:t xml:space="preserve"> to </w:t>
      </w:r>
      <w:r>
        <w:rPr>
          <w:color w:val="0000FF"/>
          <w:spacing w:val="-3"/>
        </w:rPr>
        <w:t>(state the type of modification).</w:t>
      </w:r>
      <w:r>
        <w:rPr>
          <w:spacing w:val="-3"/>
        </w:rPr>
        <w:t xml:space="preserve">  </w:t>
      </w:r>
    </w:p>
    <w:p w:rsidR="00DB5DB6" w:rsidRDefault="00DB5DB6">
      <w:pPr>
        <w:suppressAutoHyphens/>
        <w:jc w:val="both"/>
        <w:rPr>
          <w:color w:val="FF0000"/>
          <w:spacing w:val="-3"/>
        </w:rPr>
      </w:pPr>
    </w:p>
    <w:p w:rsidR="00DB5DB6" w:rsidRDefault="00DB5DB6">
      <w:pPr>
        <w:pStyle w:val="Heading1"/>
      </w:pPr>
      <w:r>
        <w:t>Applicable Rules</w:t>
      </w:r>
    </w:p>
    <w:p w:rsidR="00DB5DB6" w:rsidRDefault="00DB5DB6">
      <w:pPr>
        <w:suppressAutoHyphens/>
        <w:jc w:val="both"/>
        <w:rPr>
          <w:spacing w:val="-3"/>
        </w:rPr>
      </w:pPr>
    </w:p>
    <w:p w:rsidR="00DB5DB6" w:rsidRDefault="00DB5DB6">
      <w:pPr>
        <w:keepNext/>
        <w:keepLines/>
        <w:suppressAutoHyphens/>
        <w:rPr>
          <w:color w:val="000000"/>
          <w:spacing w:val="-2"/>
        </w:rPr>
      </w:pPr>
      <w:r>
        <w:rPr>
          <w:spacing w:val="-3"/>
        </w:rPr>
        <w:t>Rule 2201</w:t>
      </w:r>
      <w:r>
        <w:rPr>
          <w:spacing w:val="-3"/>
        </w:rPr>
        <w:tab/>
        <w:t xml:space="preserve">New and Modified Stationary Source Review Rule </w:t>
      </w:r>
      <w:r>
        <w:rPr>
          <w:color w:val="000000"/>
          <w:spacing w:val="-2"/>
        </w:rPr>
        <w:t>(</w:t>
      </w:r>
      <w:r w:rsidR="008B1712">
        <w:rPr>
          <w:color w:val="000000"/>
          <w:spacing w:val="-2"/>
        </w:rPr>
        <w:t>4/21/11</w:t>
      </w:r>
      <w:r>
        <w:rPr>
          <w:color w:val="000000"/>
          <w:spacing w:val="-2"/>
        </w:rPr>
        <w:t>)</w:t>
      </w:r>
    </w:p>
    <w:p w:rsidR="00DB028D" w:rsidRDefault="00DB028D" w:rsidP="00DB028D">
      <w:pPr>
        <w:suppressAutoHyphens/>
        <w:jc w:val="both"/>
        <w:rPr>
          <w:color w:val="000000"/>
          <w:spacing w:val="-2"/>
        </w:rPr>
      </w:pPr>
      <w:r>
        <w:rPr>
          <w:color w:val="000000"/>
          <w:spacing w:val="-2"/>
        </w:rPr>
        <w:t>Rule 2410</w:t>
      </w:r>
      <w:r>
        <w:rPr>
          <w:color w:val="000000"/>
          <w:spacing w:val="-2"/>
        </w:rPr>
        <w:tab/>
        <w:t>Prevention of Significant Deterioration (6/16/11)</w:t>
      </w:r>
    </w:p>
    <w:p w:rsidR="00DB5DB6" w:rsidRDefault="00DB5DB6">
      <w:pPr>
        <w:suppressAutoHyphens/>
        <w:rPr>
          <w:spacing w:val="-3"/>
          <w:sz w:val="20"/>
        </w:rPr>
      </w:pPr>
      <w:r>
        <w:rPr>
          <w:color w:val="000000"/>
          <w:spacing w:val="-2"/>
        </w:rPr>
        <w:t>Rule 2520</w:t>
      </w:r>
      <w:r>
        <w:rPr>
          <w:color w:val="000000"/>
          <w:spacing w:val="-2"/>
        </w:rPr>
        <w:tab/>
        <w:t>Federally Mandated Permits (6/21/01)</w:t>
      </w:r>
    </w:p>
    <w:p w:rsidR="00DB5DB6" w:rsidRDefault="00DB5DB6">
      <w:pPr>
        <w:suppressAutoHyphens/>
        <w:rPr>
          <w:spacing w:val="-3"/>
        </w:rPr>
      </w:pPr>
      <w:r>
        <w:rPr>
          <w:spacing w:val="-3"/>
        </w:rPr>
        <w:t>Rule 4101</w:t>
      </w:r>
      <w:r>
        <w:rPr>
          <w:spacing w:val="-3"/>
        </w:rPr>
        <w:tab/>
        <w:t xml:space="preserve">Visible Emissions </w:t>
      </w:r>
      <w:r>
        <w:rPr>
          <w:spacing w:val="-2"/>
        </w:rPr>
        <w:t>(2/17/05)</w:t>
      </w:r>
    </w:p>
    <w:p w:rsidR="00DB5DB6" w:rsidRDefault="00DB5DB6">
      <w:pPr>
        <w:suppressAutoHyphens/>
        <w:rPr>
          <w:spacing w:val="-2"/>
        </w:rPr>
      </w:pPr>
      <w:r>
        <w:rPr>
          <w:spacing w:val="-3"/>
        </w:rPr>
        <w:t>Rule 4102</w:t>
      </w:r>
      <w:r>
        <w:rPr>
          <w:spacing w:val="-3"/>
        </w:rPr>
        <w:tab/>
        <w:t xml:space="preserve">Nuisance </w:t>
      </w:r>
      <w:r>
        <w:rPr>
          <w:spacing w:val="-2"/>
        </w:rPr>
        <w:t>(12/17/92)</w:t>
      </w:r>
    </w:p>
    <w:p w:rsidR="00DB5DB6" w:rsidRDefault="00DB5DB6">
      <w:pPr>
        <w:pStyle w:val="Footer"/>
        <w:tabs>
          <w:tab w:val="clear" w:pos="4320"/>
          <w:tab w:val="clear" w:pos="8640"/>
        </w:tabs>
        <w:ind w:right="-180"/>
      </w:pPr>
      <w:r>
        <w:t xml:space="preserve">Rule 4651  </w:t>
      </w:r>
      <w:r>
        <w:tab/>
        <w:t>Soil Decontamination Operations (9/20/07)</w:t>
      </w:r>
    </w:p>
    <w:p w:rsidR="00DB5DB6" w:rsidRDefault="00DB5DB6">
      <w:pPr>
        <w:suppressAutoHyphens/>
        <w:rPr>
          <w:spacing w:val="-3"/>
        </w:rPr>
      </w:pPr>
      <w:r>
        <w:rPr>
          <w:spacing w:val="-3"/>
        </w:rPr>
        <w:t>CH&amp;SC 41700 California Health and Safety Code (Health Risk Assessment)</w:t>
      </w:r>
    </w:p>
    <w:p w:rsidR="00DB5DB6" w:rsidRDefault="00DB5DB6">
      <w:r>
        <w:t>CH&amp;SC 42301.6 California Health and Safety Code (School Notice)</w:t>
      </w:r>
    </w:p>
    <w:p w:rsidR="00DB5DB6" w:rsidRDefault="00DB5DB6">
      <w:pPr>
        <w:suppressAutoHyphens/>
        <w:jc w:val="both"/>
        <w:rPr>
          <w:spacing w:val="-3"/>
        </w:rPr>
      </w:pPr>
      <w:r>
        <w:rPr>
          <w:spacing w:val="-3"/>
        </w:rPr>
        <w:t>Public Resources Code 21000-21177: California Environmental Quality Act (CEQA)</w:t>
      </w:r>
    </w:p>
    <w:p w:rsidR="00DB5DB6" w:rsidRDefault="00DB5DB6">
      <w:pPr>
        <w:suppressAutoHyphens/>
        <w:jc w:val="both"/>
        <w:rPr>
          <w:spacing w:val="-3"/>
        </w:rPr>
      </w:pPr>
      <w:r>
        <w:rPr>
          <w:spacing w:val="-3"/>
        </w:rPr>
        <w:t>California Code of Regulations, Title 14, Division 6, Chapter 3, Sections 15000-15387: CEQA Guidelines</w:t>
      </w:r>
    </w:p>
    <w:p w:rsidR="00DB5DB6" w:rsidRDefault="00DB5DB6">
      <w:pPr>
        <w:suppressAutoHyphens/>
        <w:jc w:val="both"/>
        <w:rPr>
          <w:b/>
          <w:spacing w:val="-3"/>
          <w:u w:val="single"/>
        </w:rPr>
      </w:pPr>
    </w:p>
    <w:p w:rsidR="00DB5DB6" w:rsidRDefault="00DB5DB6">
      <w:pPr>
        <w:pStyle w:val="Heading1"/>
      </w:pPr>
      <w:r>
        <w:t>Project Location</w:t>
      </w:r>
    </w:p>
    <w:p w:rsidR="00DB5DB6" w:rsidRDefault="00DB5DB6">
      <w:pPr>
        <w:suppressAutoHyphens/>
        <w:jc w:val="both"/>
        <w:rPr>
          <w:spacing w:val="-3"/>
        </w:rPr>
      </w:pPr>
    </w:p>
    <w:p w:rsidR="00DB5DB6" w:rsidRDefault="00DB5DB6">
      <w:pPr>
        <w:suppressAutoHyphens/>
        <w:jc w:val="both"/>
        <w:rPr>
          <w:color w:val="0000FF"/>
          <w:spacing w:val="-3"/>
        </w:rPr>
      </w:pPr>
      <w:r>
        <w:rPr>
          <w:spacing w:val="-3"/>
        </w:rPr>
        <w:lastRenderedPageBreak/>
        <w:t xml:space="preserve">The facility is located at </w:t>
      </w:r>
      <w:r w:rsidR="008B1712" w:rsidRPr="00D266D5">
        <w:rPr>
          <w:color w:val="0070C0"/>
          <w:spacing w:val="-3"/>
        </w:rPr>
        <w:t>[</w:t>
      </w:r>
      <w:r w:rsidRPr="00D266D5">
        <w:rPr>
          <w:color w:val="0070C0"/>
          <w:spacing w:val="-3"/>
        </w:rPr>
        <w:t>location</w:t>
      </w:r>
      <w:r w:rsidR="008B1712" w:rsidRPr="00D266D5">
        <w:rPr>
          <w:color w:val="0070C0"/>
          <w:spacing w:val="-3"/>
        </w:rPr>
        <w:t>]</w:t>
      </w:r>
      <w:r>
        <w:rPr>
          <w:spacing w:val="-3"/>
        </w:rPr>
        <w:t xml:space="preserve">.  The District has verified that the facility </w:t>
      </w:r>
      <w:r w:rsidR="001A7F10" w:rsidRPr="00D266D5">
        <w:rPr>
          <w:color w:val="0070C0"/>
          <w:spacing w:val="-3"/>
        </w:rPr>
        <w:t>[</w:t>
      </w:r>
      <w:r w:rsidRPr="00D266D5">
        <w:rPr>
          <w:color w:val="0070C0"/>
          <w:spacing w:val="-3"/>
        </w:rPr>
        <w:t>is</w:t>
      </w:r>
      <w:r w:rsidR="008B1712" w:rsidRPr="00D266D5">
        <w:rPr>
          <w:color w:val="0070C0"/>
          <w:spacing w:val="-3"/>
        </w:rPr>
        <w:t>/</w:t>
      </w:r>
      <w:r w:rsidR="00243DAF" w:rsidRPr="00243DAF">
        <w:rPr>
          <w:color w:val="0070C0"/>
          <w:spacing w:val="-3"/>
        </w:rPr>
        <w:t>is not</w:t>
      </w:r>
      <w:r w:rsidR="001A7F10" w:rsidRPr="00D266D5">
        <w:rPr>
          <w:color w:val="0070C0"/>
          <w:spacing w:val="-3"/>
        </w:rPr>
        <w:t>]</w:t>
      </w:r>
      <w:r>
        <w:rPr>
          <w:spacing w:val="-3"/>
        </w:rPr>
        <w:t xml:space="preserve"> located within 1,000 feet of the outer boundary of any K-12 school.  Therefore, pursuant to CH&amp;SC 42301.6, California Health and Safety Code (School Notice), public notification</w:t>
      </w:r>
      <w:r>
        <w:rPr>
          <w:color w:val="0000FF"/>
          <w:spacing w:val="-3"/>
        </w:rPr>
        <w:t xml:space="preserve"> </w:t>
      </w:r>
      <w:r w:rsidR="001A7F10" w:rsidRPr="00D266D5">
        <w:rPr>
          <w:color w:val="0070C0"/>
          <w:spacing w:val="-3"/>
        </w:rPr>
        <w:t>[</w:t>
      </w:r>
      <w:r w:rsidRPr="00D266D5">
        <w:rPr>
          <w:color w:val="0070C0"/>
          <w:spacing w:val="-3"/>
        </w:rPr>
        <w:t>is</w:t>
      </w:r>
      <w:r w:rsidR="008B1712" w:rsidRPr="00D266D5">
        <w:rPr>
          <w:color w:val="0070C0"/>
          <w:spacing w:val="-3"/>
        </w:rPr>
        <w:t>/</w:t>
      </w:r>
      <w:r w:rsidR="00243DAF" w:rsidRPr="00243DAF">
        <w:rPr>
          <w:color w:val="0070C0"/>
          <w:spacing w:val="-3"/>
        </w:rPr>
        <w:t>is not</w:t>
      </w:r>
      <w:r w:rsidR="001A7F10" w:rsidRPr="00D266D5">
        <w:rPr>
          <w:color w:val="0070C0"/>
          <w:spacing w:val="-3"/>
        </w:rPr>
        <w:t>]</w:t>
      </w:r>
      <w:r w:rsidRPr="00D266D5">
        <w:rPr>
          <w:color w:val="0070C0"/>
          <w:spacing w:val="-3"/>
        </w:rPr>
        <w:t xml:space="preserve"> </w:t>
      </w:r>
      <w:r>
        <w:rPr>
          <w:spacing w:val="-3"/>
        </w:rPr>
        <w:t>required.</w:t>
      </w:r>
    </w:p>
    <w:p w:rsidR="00DB5DB6" w:rsidRDefault="00DB5DB6">
      <w:pPr>
        <w:suppressAutoHyphens/>
        <w:jc w:val="both"/>
        <w:rPr>
          <w:spacing w:val="-3"/>
        </w:rPr>
      </w:pPr>
    </w:p>
    <w:p w:rsidR="00DB5DB6" w:rsidRDefault="00DB5DB6">
      <w:pPr>
        <w:suppressAutoHyphens/>
        <w:jc w:val="both"/>
        <w:rPr>
          <w:color w:val="0000FF"/>
          <w:spacing w:val="-3"/>
        </w:rPr>
      </w:pPr>
      <w:r>
        <w:rPr>
          <w:color w:val="FF0000"/>
          <w:spacing w:val="-3"/>
        </w:rPr>
        <w:t>If located at existing stationary source then state:</w:t>
      </w:r>
      <w:r>
        <w:rPr>
          <w:color w:val="0000FF"/>
          <w:spacing w:val="-3"/>
        </w:rPr>
        <w:t xml:space="preserve">  </w:t>
      </w:r>
    </w:p>
    <w:p w:rsidR="00DB5DB6" w:rsidRDefault="00DB5DB6">
      <w:pPr>
        <w:suppressAutoHyphens/>
        <w:jc w:val="both"/>
        <w:rPr>
          <w:color w:val="0000FF"/>
          <w:spacing w:val="-3"/>
        </w:rPr>
      </w:pPr>
    </w:p>
    <w:p w:rsidR="00DB5DB6" w:rsidRDefault="00DB5DB6">
      <w:pPr>
        <w:suppressAutoHyphens/>
        <w:jc w:val="both"/>
        <w:rPr>
          <w:color w:val="0000FF"/>
          <w:spacing w:val="-3"/>
        </w:rPr>
      </w:pPr>
      <w:r>
        <w:rPr>
          <w:color w:val="0000FF"/>
          <w:spacing w:val="-3"/>
        </w:rPr>
        <w:t xml:space="preserve">Although this operation is located at [Facility Name and #], it is considered a </w:t>
      </w:r>
      <w:r w:rsidR="008B1712">
        <w:rPr>
          <w:color w:val="0000FF"/>
          <w:spacing w:val="-3"/>
        </w:rPr>
        <w:t>separate</w:t>
      </w:r>
      <w:r>
        <w:rPr>
          <w:color w:val="0000FF"/>
          <w:spacing w:val="-3"/>
        </w:rPr>
        <w:t xml:space="preserve"> stationary source </w:t>
      </w:r>
      <w:r w:rsidR="008B1712">
        <w:rPr>
          <w:color w:val="0000FF"/>
          <w:spacing w:val="-3"/>
        </w:rPr>
        <w:t xml:space="preserve">with a different SIC code </w:t>
      </w:r>
      <w:r>
        <w:rPr>
          <w:color w:val="0000FF"/>
          <w:spacing w:val="-3"/>
        </w:rPr>
        <w:t>since</w:t>
      </w:r>
      <w:r w:rsidR="008B1712">
        <w:rPr>
          <w:color w:val="0000FF"/>
          <w:spacing w:val="-3"/>
        </w:rPr>
        <w:t xml:space="preserve"> the soil remediation operation is not considered a normal business activity of the existing facility</w:t>
      </w:r>
      <w:r>
        <w:rPr>
          <w:color w:val="0000FF"/>
          <w:spacing w:val="-3"/>
        </w:rPr>
        <w:t>.</w:t>
      </w:r>
    </w:p>
    <w:p w:rsidR="00DB5DB6" w:rsidRDefault="00DB5DB6">
      <w:pPr>
        <w:suppressAutoHyphens/>
        <w:jc w:val="both"/>
        <w:rPr>
          <w:spacing w:val="-3"/>
        </w:rPr>
      </w:pPr>
    </w:p>
    <w:p w:rsidR="00DB5DB6" w:rsidRDefault="00DB5DB6">
      <w:pPr>
        <w:pStyle w:val="Heading1"/>
      </w:pPr>
      <w:r>
        <w:t>Process Description</w:t>
      </w:r>
    </w:p>
    <w:p w:rsidR="00DB5DB6" w:rsidRDefault="00DB5DB6">
      <w:pPr>
        <w:suppressAutoHyphens/>
        <w:jc w:val="both"/>
        <w:rPr>
          <w:spacing w:val="-3"/>
        </w:rPr>
      </w:pPr>
    </w:p>
    <w:p w:rsidR="00DB5DB6" w:rsidRDefault="00DB5DB6">
      <w:r>
        <w:t>VOC will be extracted from subsurface soil by mechanically drawing air through the soil matrix.  This will be done by connecting a vacuum pump</w:t>
      </w:r>
      <w:r w:rsidR="00F675F8">
        <w:t xml:space="preserve"> with blower motor</w:t>
      </w:r>
      <w:r>
        <w:t xml:space="preserve"> to extraction wells.  When suction is applied to the wells it induces a subsurface airflow radially toward perforations in the well casings.  Organic vapors are removed by adsorption as the gas stream passes through a bed of specially “activated” carbon.  This material has a very large surface area for adsorption due to the presence of a large number of pores throughout the carbon.  The organic vapors diffuse into these pores and are retained on the carbon surface due to both chemical and physical forces.  </w:t>
      </w:r>
      <w:r w:rsidR="00F675F8">
        <w:t xml:space="preserve">For this operation, [two/three] carbon canisters will be connected in series.  When the first canister approaches the saturation point where it is unable to adsorb additional VOCs, the canister is removed from service with the second canister in series now serving as the first and a fresh canister installed as the new final canister.  In this way, if the first canister reaches saturation before it can be replaced, extracted VOCs are still adsorbed by the second canister rather than passing through to atmosphere.  </w:t>
      </w:r>
      <w:r>
        <w:t>The activated carbon system will capture at least 95% of the VOC in the process stream prior to discharge into the atmosphere.</w:t>
      </w:r>
    </w:p>
    <w:p w:rsidR="00DB5DB6" w:rsidRDefault="00DB5DB6">
      <w:pPr>
        <w:suppressAutoHyphens/>
        <w:ind w:left="720" w:hanging="720"/>
        <w:jc w:val="both"/>
        <w:rPr>
          <w:spacing w:val="-3"/>
        </w:rPr>
      </w:pPr>
    </w:p>
    <w:p w:rsidR="00DB5DB6" w:rsidRDefault="00DB5DB6">
      <w:pPr>
        <w:suppressAutoHyphens/>
        <w:jc w:val="both"/>
        <w:rPr>
          <w:spacing w:val="-3"/>
        </w:rPr>
      </w:pPr>
      <w:r>
        <w:rPr>
          <w:spacing w:val="-3"/>
          <w:u w:val="single"/>
        </w:rPr>
        <w:t>Operating Schedule</w:t>
      </w:r>
      <w:r>
        <w:rPr>
          <w:spacing w:val="-3"/>
        </w:rPr>
        <w:t>:</w:t>
      </w:r>
    </w:p>
    <w:p w:rsidR="00DB5DB6" w:rsidRDefault="00DB5DB6">
      <w:pPr>
        <w:suppressAutoHyphens/>
        <w:jc w:val="both"/>
        <w:rPr>
          <w:spacing w:val="-3"/>
        </w:rPr>
      </w:pPr>
    </w:p>
    <w:p w:rsidR="00DB5DB6" w:rsidRDefault="00DB5DB6">
      <w:r>
        <w:t xml:space="preserve">The operating schedule is </w:t>
      </w:r>
      <w:r>
        <w:rPr>
          <w:color w:val="0000FF"/>
        </w:rPr>
        <w:t>[  ]</w:t>
      </w:r>
      <w:r>
        <w:t xml:space="preserve"> hr/day and </w:t>
      </w:r>
      <w:r>
        <w:rPr>
          <w:color w:val="0000FF"/>
        </w:rPr>
        <w:t>[  ]</w:t>
      </w:r>
      <w:r>
        <w:t xml:space="preserve"> days/year.</w:t>
      </w:r>
    </w:p>
    <w:p w:rsidR="00DB5DB6" w:rsidRDefault="00DB5DB6">
      <w:pPr>
        <w:suppressAutoHyphens/>
        <w:jc w:val="both"/>
        <w:rPr>
          <w:b/>
          <w:spacing w:val="-3"/>
        </w:rPr>
      </w:pPr>
      <w:r>
        <w:rPr>
          <w:b/>
          <w:spacing w:val="-3"/>
        </w:rPr>
        <w:tab/>
      </w:r>
    </w:p>
    <w:p w:rsidR="00DB5DB6" w:rsidRDefault="00DB5DB6">
      <w:pPr>
        <w:pStyle w:val="Heading1"/>
      </w:pPr>
      <w:r>
        <w:t>Equipment Listing</w:t>
      </w:r>
    </w:p>
    <w:p w:rsidR="00DB5DB6" w:rsidRDefault="00DB5DB6">
      <w:pPr>
        <w:suppressAutoHyphens/>
        <w:ind w:left="720"/>
        <w:jc w:val="both"/>
        <w:rPr>
          <w:b/>
          <w:spacing w:val="-3"/>
        </w:rPr>
      </w:pPr>
    </w:p>
    <w:p w:rsidR="00DB5DB6" w:rsidRDefault="00DB5DB6">
      <w:pPr>
        <w:suppressAutoHyphens/>
        <w:jc w:val="both"/>
        <w:rPr>
          <w:spacing w:val="-3"/>
        </w:rPr>
      </w:pPr>
      <w:r>
        <w:rPr>
          <w:spacing w:val="-3"/>
          <w:u w:val="single"/>
        </w:rPr>
        <w:t>Activated Carbon System</w:t>
      </w:r>
      <w:r>
        <w:rPr>
          <w:spacing w:val="-3"/>
        </w:rPr>
        <w:t>:</w:t>
      </w:r>
    </w:p>
    <w:p w:rsidR="00DB5DB6" w:rsidRDefault="00DB5DB6">
      <w:pPr>
        <w:tabs>
          <w:tab w:val="left" w:pos="-1440"/>
          <w:tab w:val="left" w:pos="-720"/>
          <w:tab w:val="right" w:pos="3780"/>
        </w:tabs>
        <w:suppressAutoHyphens/>
        <w:jc w:val="both"/>
        <w:rPr>
          <w:spacing w:val="-3"/>
        </w:rPr>
      </w:pPr>
      <w:r>
        <w:rPr>
          <w:spacing w:val="-3"/>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5688"/>
      </w:tblGrid>
      <w:tr w:rsidR="00DB5DB6">
        <w:tc>
          <w:tcPr>
            <w:tcW w:w="2952" w:type="dxa"/>
            <w:tcBorders>
              <w:top w:val="nil"/>
              <w:left w:val="nil"/>
              <w:bottom w:val="nil"/>
              <w:right w:val="nil"/>
            </w:tcBorders>
          </w:tcPr>
          <w:p w:rsidR="00DB5DB6" w:rsidRDefault="00DB5DB6">
            <w:pPr>
              <w:suppressAutoHyphens/>
              <w:jc w:val="right"/>
              <w:rPr>
                <w:spacing w:val="-3"/>
              </w:rPr>
            </w:pPr>
            <w:r>
              <w:rPr>
                <w:spacing w:val="-3"/>
              </w:rPr>
              <w:t xml:space="preserve">Manufacturer: </w:t>
            </w:r>
          </w:p>
        </w:tc>
        <w:tc>
          <w:tcPr>
            <w:tcW w:w="5688" w:type="dxa"/>
            <w:tcBorders>
              <w:top w:val="nil"/>
              <w:left w:val="nil"/>
              <w:bottom w:val="nil"/>
              <w:right w:val="nil"/>
            </w:tcBorders>
          </w:tcPr>
          <w:p w:rsidR="00DB5DB6" w:rsidRDefault="00DB5DB6">
            <w:pPr>
              <w:suppressAutoHyphens/>
              <w:rPr>
                <w:color w:val="0000FF"/>
                <w:spacing w:val="-3"/>
              </w:rPr>
            </w:pPr>
            <w:r>
              <w:rPr>
                <w:color w:val="0000FF"/>
                <w:spacing w:val="-3"/>
              </w:rPr>
              <w:t>[  ]</w:t>
            </w:r>
          </w:p>
        </w:tc>
      </w:tr>
      <w:tr w:rsidR="00DB5DB6">
        <w:tc>
          <w:tcPr>
            <w:tcW w:w="2952" w:type="dxa"/>
            <w:tcBorders>
              <w:top w:val="nil"/>
              <w:left w:val="nil"/>
              <w:bottom w:val="nil"/>
              <w:right w:val="nil"/>
            </w:tcBorders>
          </w:tcPr>
          <w:p w:rsidR="00DB5DB6" w:rsidRDefault="00DB5DB6">
            <w:pPr>
              <w:suppressAutoHyphens/>
              <w:jc w:val="right"/>
              <w:rPr>
                <w:spacing w:val="-3"/>
              </w:rPr>
            </w:pPr>
          </w:p>
        </w:tc>
        <w:tc>
          <w:tcPr>
            <w:tcW w:w="5688" w:type="dxa"/>
            <w:tcBorders>
              <w:top w:val="nil"/>
              <w:left w:val="nil"/>
              <w:bottom w:val="nil"/>
              <w:right w:val="nil"/>
            </w:tcBorders>
            <w:vAlign w:val="center"/>
          </w:tcPr>
          <w:p w:rsidR="00DB5DB6" w:rsidRDefault="00DB5DB6">
            <w:pPr>
              <w:suppressAutoHyphens/>
              <w:rPr>
                <w:color w:val="FF0000"/>
                <w:spacing w:val="-3"/>
              </w:rPr>
            </w:pPr>
            <w:r>
              <w:rPr>
                <w:color w:val="0000FF"/>
                <w:spacing w:val="-2"/>
              </w:rPr>
              <w:t xml:space="preserve">[  ] </w:t>
            </w:r>
            <w:r>
              <w:rPr>
                <w:color w:val="000000"/>
                <w:spacing w:val="-2"/>
              </w:rPr>
              <w:t>carbon canisters</w:t>
            </w:r>
            <w:r>
              <w:rPr>
                <w:color w:val="0000FF"/>
                <w:spacing w:val="-2"/>
              </w:rPr>
              <w:t xml:space="preserve"> </w:t>
            </w:r>
            <w:r>
              <w:rPr>
                <w:color w:val="000000"/>
                <w:spacing w:val="-2"/>
              </w:rPr>
              <w:t>@</w:t>
            </w:r>
            <w:r>
              <w:rPr>
                <w:color w:val="0000FF"/>
                <w:spacing w:val="-2"/>
              </w:rPr>
              <w:t xml:space="preserve"> [  ] lbs </w:t>
            </w:r>
            <w:r>
              <w:rPr>
                <w:color w:val="000000"/>
                <w:spacing w:val="-2"/>
              </w:rPr>
              <w:t>each</w:t>
            </w:r>
          </w:p>
        </w:tc>
      </w:tr>
      <w:tr w:rsidR="00DB5DB6">
        <w:tc>
          <w:tcPr>
            <w:tcW w:w="2952" w:type="dxa"/>
            <w:tcBorders>
              <w:top w:val="nil"/>
              <w:left w:val="nil"/>
              <w:bottom w:val="nil"/>
              <w:right w:val="nil"/>
            </w:tcBorders>
          </w:tcPr>
          <w:p w:rsidR="00DB5DB6" w:rsidRDefault="00DB5DB6">
            <w:pPr>
              <w:suppressAutoHyphens/>
              <w:jc w:val="right"/>
              <w:rPr>
                <w:spacing w:val="-3"/>
              </w:rPr>
            </w:pPr>
            <w:r>
              <w:rPr>
                <w:spacing w:val="-3"/>
              </w:rPr>
              <w:t>Model #:</w:t>
            </w:r>
          </w:p>
        </w:tc>
        <w:tc>
          <w:tcPr>
            <w:tcW w:w="5688" w:type="dxa"/>
            <w:tcBorders>
              <w:top w:val="nil"/>
              <w:left w:val="nil"/>
              <w:bottom w:val="nil"/>
              <w:right w:val="nil"/>
            </w:tcBorders>
          </w:tcPr>
          <w:p w:rsidR="00DB5DB6" w:rsidRDefault="00DB5DB6">
            <w:pPr>
              <w:suppressAutoHyphens/>
              <w:rPr>
                <w:color w:val="0000FF"/>
                <w:spacing w:val="-3"/>
              </w:rPr>
            </w:pPr>
            <w:r>
              <w:rPr>
                <w:color w:val="0000FF"/>
                <w:spacing w:val="-3"/>
              </w:rPr>
              <w:t>[  ]</w:t>
            </w:r>
          </w:p>
        </w:tc>
      </w:tr>
      <w:tr w:rsidR="00DB5DB6">
        <w:tc>
          <w:tcPr>
            <w:tcW w:w="2952" w:type="dxa"/>
            <w:tcBorders>
              <w:top w:val="nil"/>
              <w:left w:val="nil"/>
              <w:bottom w:val="nil"/>
              <w:right w:val="nil"/>
            </w:tcBorders>
          </w:tcPr>
          <w:p w:rsidR="00DB5DB6" w:rsidRDefault="00DB5DB6">
            <w:pPr>
              <w:suppressAutoHyphens/>
              <w:jc w:val="right"/>
              <w:rPr>
                <w:spacing w:val="-3"/>
              </w:rPr>
            </w:pPr>
            <w:r>
              <w:rPr>
                <w:spacing w:val="-3"/>
              </w:rPr>
              <w:t xml:space="preserve">Control Efficiency: </w:t>
            </w:r>
          </w:p>
        </w:tc>
        <w:tc>
          <w:tcPr>
            <w:tcW w:w="5688" w:type="dxa"/>
            <w:tcBorders>
              <w:top w:val="nil"/>
              <w:left w:val="nil"/>
              <w:bottom w:val="nil"/>
              <w:right w:val="nil"/>
            </w:tcBorders>
          </w:tcPr>
          <w:p w:rsidR="00DB5DB6" w:rsidRDefault="00DB5DB6">
            <w:pPr>
              <w:suppressAutoHyphens/>
              <w:rPr>
                <w:b/>
                <w:spacing w:val="-3"/>
              </w:rPr>
            </w:pPr>
            <w:r>
              <w:rPr>
                <w:color w:val="0000FF"/>
                <w:spacing w:val="-3"/>
              </w:rPr>
              <w:t xml:space="preserve">[  ] </w:t>
            </w:r>
            <w:r w:rsidR="00243DAF">
              <w:rPr>
                <w:color w:val="0000FF"/>
                <w:spacing w:val="-3"/>
              </w:rPr>
              <w:t>%</w:t>
            </w:r>
            <w:r w:rsidR="00243DAF">
              <w:rPr>
                <w:spacing w:val="-3"/>
              </w:rPr>
              <w:t xml:space="preserve"> (</w:t>
            </w:r>
            <w:r>
              <w:rPr>
                <w:spacing w:val="-2"/>
                <w:sz w:val="20"/>
              </w:rPr>
              <w:t>Per applicant, District BACT requirement: 95%)</w:t>
            </w:r>
          </w:p>
        </w:tc>
      </w:tr>
    </w:tbl>
    <w:p w:rsidR="00DB5DB6" w:rsidRDefault="00DB5DB6">
      <w:pPr>
        <w:tabs>
          <w:tab w:val="right" w:pos="3780"/>
        </w:tabs>
        <w:suppressAutoHyphens/>
        <w:jc w:val="both"/>
        <w:rPr>
          <w:spacing w:val="-3"/>
        </w:rPr>
      </w:pPr>
    </w:p>
    <w:p w:rsidR="00DB5DB6" w:rsidRDefault="00DB5DB6">
      <w:pPr>
        <w:suppressAutoHyphens/>
        <w:jc w:val="both"/>
        <w:rPr>
          <w:spacing w:val="-3"/>
        </w:rPr>
      </w:pPr>
      <w:r>
        <w:rPr>
          <w:spacing w:val="-3"/>
          <w:u w:val="single"/>
        </w:rPr>
        <w:t>Extraction Blower/Motor</w:t>
      </w:r>
      <w:r>
        <w:rPr>
          <w:spacing w:val="-3"/>
        </w:rPr>
        <w:t>:</w:t>
      </w:r>
    </w:p>
    <w:p w:rsidR="00DB5DB6" w:rsidRDefault="00DB5DB6">
      <w:pPr>
        <w:tabs>
          <w:tab w:val="right" w:pos="3780"/>
        </w:tabs>
        <w:suppressAutoHyphens/>
        <w:jc w:val="both"/>
        <w:rPr>
          <w:spacing w:val="-3"/>
        </w:rPr>
      </w:pPr>
      <w:r>
        <w:rPr>
          <w:spacing w:val="-3"/>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5688"/>
      </w:tblGrid>
      <w:tr w:rsidR="00DB5DB6">
        <w:tc>
          <w:tcPr>
            <w:tcW w:w="2952" w:type="dxa"/>
            <w:tcBorders>
              <w:top w:val="nil"/>
              <w:left w:val="nil"/>
              <w:bottom w:val="nil"/>
              <w:right w:val="nil"/>
            </w:tcBorders>
          </w:tcPr>
          <w:p w:rsidR="00DB5DB6" w:rsidRDefault="00DB5DB6">
            <w:pPr>
              <w:suppressAutoHyphens/>
              <w:jc w:val="right"/>
              <w:rPr>
                <w:spacing w:val="-3"/>
              </w:rPr>
            </w:pPr>
            <w:r>
              <w:rPr>
                <w:spacing w:val="-3"/>
              </w:rPr>
              <w:t>Power Rating:</w:t>
            </w:r>
          </w:p>
          <w:p w:rsidR="00DB5DB6" w:rsidRDefault="00DB5DB6">
            <w:pPr>
              <w:suppressAutoHyphens/>
              <w:jc w:val="right"/>
              <w:rPr>
                <w:spacing w:val="-3"/>
              </w:rPr>
            </w:pPr>
            <w:r>
              <w:rPr>
                <w:spacing w:val="-3"/>
              </w:rPr>
              <w:t xml:space="preserve">Maximum Stack Flowrate: </w:t>
            </w:r>
          </w:p>
        </w:tc>
        <w:tc>
          <w:tcPr>
            <w:tcW w:w="5688" w:type="dxa"/>
            <w:tcBorders>
              <w:top w:val="nil"/>
              <w:left w:val="nil"/>
              <w:bottom w:val="nil"/>
              <w:right w:val="nil"/>
            </w:tcBorders>
          </w:tcPr>
          <w:p w:rsidR="00DB5DB6" w:rsidRDefault="00DB5DB6">
            <w:pPr>
              <w:suppressAutoHyphens/>
              <w:rPr>
                <w:color w:val="0000FF"/>
                <w:spacing w:val="-3"/>
              </w:rPr>
            </w:pPr>
            <w:r>
              <w:rPr>
                <w:color w:val="0000FF"/>
                <w:spacing w:val="-3"/>
              </w:rPr>
              <w:t>[  ] hp</w:t>
            </w:r>
          </w:p>
          <w:p w:rsidR="00DB5DB6" w:rsidRDefault="00DB5DB6">
            <w:pPr>
              <w:suppressAutoHyphens/>
              <w:rPr>
                <w:color w:val="0000FF"/>
                <w:spacing w:val="-3"/>
              </w:rPr>
            </w:pPr>
            <w:r>
              <w:rPr>
                <w:color w:val="0000FF"/>
                <w:spacing w:val="-3"/>
              </w:rPr>
              <w:t>[  ] cfm</w:t>
            </w:r>
          </w:p>
        </w:tc>
      </w:tr>
    </w:tbl>
    <w:p w:rsidR="00DB5DB6" w:rsidRDefault="00DB5DB6">
      <w:pPr>
        <w:suppressAutoHyphens/>
        <w:jc w:val="both"/>
        <w:rPr>
          <w:spacing w:val="-3"/>
        </w:rPr>
      </w:pPr>
    </w:p>
    <w:p w:rsidR="00DB5DB6" w:rsidRDefault="00DB5DB6">
      <w:pPr>
        <w:suppressAutoHyphens/>
        <w:ind w:left="1530" w:hanging="1530"/>
        <w:jc w:val="both"/>
        <w:rPr>
          <w:color w:val="0000FF"/>
          <w:spacing w:val="-3"/>
        </w:rPr>
      </w:pPr>
      <w:r>
        <w:rPr>
          <w:color w:val="0000FF"/>
          <w:spacing w:val="-3"/>
        </w:rPr>
        <w:lastRenderedPageBreak/>
        <w:t xml:space="preserve">C-xxxx-x-x: </w:t>
      </w:r>
      <w:r>
        <w:rPr>
          <w:color w:val="0000FF"/>
          <w:spacing w:val="-3"/>
        </w:rPr>
        <w:tab/>
      </w:r>
      <w:r>
        <w:rPr>
          <w:spacing w:val="-3"/>
        </w:rPr>
        <w:t xml:space="preserve">SOIL REMEDIATION PROJECT SERVED BY </w:t>
      </w:r>
      <w:r w:rsidR="00DE6BCD">
        <w:rPr>
          <w:spacing w:val="-3"/>
        </w:rPr>
        <w:t>[</w:t>
      </w:r>
      <w:r>
        <w:rPr>
          <w:color w:val="0000FF"/>
          <w:spacing w:val="-3"/>
        </w:rPr>
        <w:t>TWO</w:t>
      </w:r>
      <w:r w:rsidR="00DE6BCD">
        <w:rPr>
          <w:color w:val="0000FF"/>
          <w:spacing w:val="-3"/>
        </w:rPr>
        <w:t>]</w:t>
      </w:r>
      <w:r>
        <w:rPr>
          <w:color w:val="0000FF"/>
          <w:spacing w:val="-3"/>
        </w:rPr>
        <w:t xml:space="preserve"> </w:t>
      </w:r>
      <w:r w:rsidR="00DE6BCD">
        <w:rPr>
          <w:color w:val="0000FF"/>
          <w:spacing w:val="-3"/>
        </w:rPr>
        <w:t>[</w:t>
      </w:r>
      <w:r>
        <w:rPr>
          <w:color w:val="0000FF"/>
          <w:spacing w:val="-3"/>
        </w:rPr>
        <w:t>XXX</w:t>
      </w:r>
      <w:r w:rsidR="00DE6BCD">
        <w:rPr>
          <w:color w:val="0000FF"/>
          <w:spacing w:val="-3"/>
        </w:rPr>
        <w:t>]</w:t>
      </w:r>
      <w:r>
        <w:rPr>
          <w:color w:val="0000FF"/>
          <w:spacing w:val="-3"/>
        </w:rPr>
        <w:t xml:space="preserve"> </w:t>
      </w:r>
      <w:r>
        <w:rPr>
          <w:spacing w:val="-3"/>
        </w:rPr>
        <w:t>LB</w:t>
      </w:r>
      <w:r>
        <w:rPr>
          <w:color w:val="0000FF"/>
          <w:spacing w:val="-3"/>
        </w:rPr>
        <w:t xml:space="preserve"> </w:t>
      </w:r>
      <w:r w:rsidR="00DE6BCD">
        <w:rPr>
          <w:color w:val="0000FF"/>
          <w:spacing w:val="-3"/>
        </w:rPr>
        <w:t>[</w:t>
      </w:r>
      <w:r>
        <w:rPr>
          <w:color w:val="0000FF"/>
          <w:spacing w:val="-3"/>
        </w:rPr>
        <w:t>MANUFACTER</w:t>
      </w:r>
      <w:r w:rsidR="00DE6BCD">
        <w:rPr>
          <w:color w:val="0000FF"/>
          <w:spacing w:val="-3"/>
        </w:rPr>
        <w:t>]</w:t>
      </w:r>
      <w:r>
        <w:rPr>
          <w:color w:val="0000FF"/>
          <w:spacing w:val="-3"/>
        </w:rPr>
        <w:t xml:space="preserve">, </w:t>
      </w:r>
      <w:r>
        <w:rPr>
          <w:spacing w:val="-3"/>
        </w:rPr>
        <w:t>MODEL</w:t>
      </w:r>
      <w:r>
        <w:rPr>
          <w:color w:val="0000FF"/>
          <w:spacing w:val="-3"/>
        </w:rPr>
        <w:t xml:space="preserve"> </w:t>
      </w:r>
      <w:r w:rsidR="00DE6BCD">
        <w:rPr>
          <w:color w:val="0000FF"/>
          <w:spacing w:val="-3"/>
        </w:rPr>
        <w:t>[</w:t>
      </w:r>
      <w:r>
        <w:rPr>
          <w:color w:val="0000FF"/>
          <w:spacing w:val="-3"/>
        </w:rPr>
        <w:t>XXX</w:t>
      </w:r>
      <w:r w:rsidR="00DE6BCD">
        <w:rPr>
          <w:color w:val="0000FF"/>
          <w:spacing w:val="-3"/>
        </w:rPr>
        <w:t>]</w:t>
      </w:r>
      <w:r>
        <w:rPr>
          <w:spacing w:val="-3"/>
        </w:rPr>
        <w:t>, CARBON</w:t>
      </w:r>
      <w:r>
        <w:rPr>
          <w:color w:val="0000FF"/>
          <w:spacing w:val="-3"/>
        </w:rPr>
        <w:t xml:space="preserve"> </w:t>
      </w:r>
      <w:r>
        <w:rPr>
          <w:spacing w:val="-3"/>
        </w:rPr>
        <w:t xml:space="preserve">CANISTERS </w:t>
      </w:r>
      <w:r>
        <w:rPr>
          <w:color w:val="0000FF"/>
          <w:spacing w:val="-3"/>
        </w:rPr>
        <w:t xml:space="preserve">CONNECTED IN SERIES </w:t>
      </w:r>
    </w:p>
    <w:p w:rsidR="00DB5DB6" w:rsidRDefault="00DB5DB6">
      <w:pPr>
        <w:suppressAutoHyphens/>
        <w:jc w:val="both"/>
        <w:rPr>
          <w:spacing w:val="-3"/>
        </w:rPr>
      </w:pPr>
    </w:p>
    <w:p w:rsidR="00DB5DB6" w:rsidRDefault="00DB5DB6">
      <w:pPr>
        <w:pStyle w:val="Heading1"/>
      </w:pPr>
      <w:r>
        <w:t>Emission Control Technology Evaluation</w:t>
      </w:r>
    </w:p>
    <w:p w:rsidR="00DB5DB6" w:rsidRDefault="00DB5DB6">
      <w:pPr>
        <w:suppressAutoHyphens/>
        <w:jc w:val="both"/>
        <w:rPr>
          <w:spacing w:val="-3"/>
        </w:rPr>
      </w:pPr>
    </w:p>
    <w:p w:rsidR="00DB5DB6" w:rsidRDefault="00DB5DB6">
      <w:pPr>
        <w:suppressAutoHyphens/>
        <w:jc w:val="both"/>
        <w:rPr>
          <w:spacing w:val="-3"/>
        </w:rPr>
      </w:pPr>
      <w:r>
        <w:rPr>
          <w:spacing w:val="-3"/>
          <w:u w:val="single"/>
        </w:rPr>
        <w:t>Activated Carbon System</w:t>
      </w:r>
      <w:r>
        <w:rPr>
          <w:spacing w:val="-3"/>
        </w:rPr>
        <w:t>:</w:t>
      </w:r>
    </w:p>
    <w:p w:rsidR="00DB5DB6" w:rsidRDefault="00DB5DB6">
      <w:pPr>
        <w:suppressAutoHyphens/>
        <w:ind w:left="720" w:hanging="720"/>
        <w:jc w:val="both"/>
      </w:pPr>
    </w:p>
    <w:p w:rsidR="00DB5DB6" w:rsidRDefault="00DB5DB6">
      <w:pPr>
        <w:suppressAutoHyphens/>
        <w:jc w:val="both"/>
        <w:rPr>
          <w:spacing w:val="-3"/>
        </w:rPr>
      </w:pPr>
      <w:r>
        <w:t>Carbon adsorption is a remediation technology in which pollutants are removed from air by physical adsorption onto activated carbon grains. Carbon is "activated" for this purpose by processing the carbon to create porous particles with a large internal surface area that attracts and adsorbs organic molecules as well as certain metal and inorganic molecules</w:t>
      </w:r>
      <w:r>
        <w:rPr>
          <w:spacing w:val="-3"/>
        </w:rPr>
        <w:t>.</w:t>
      </w:r>
    </w:p>
    <w:p w:rsidR="00DB5DB6" w:rsidRDefault="00DB5DB6">
      <w:pPr>
        <w:suppressAutoHyphens/>
        <w:ind w:left="720"/>
        <w:jc w:val="both"/>
        <w:rPr>
          <w:spacing w:val="-3"/>
        </w:rPr>
      </w:pPr>
    </w:p>
    <w:p w:rsidR="00DB5DB6" w:rsidRDefault="00DB5DB6">
      <w:pPr>
        <w:suppressAutoHyphens/>
        <w:jc w:val="both"/>
        <w:rPr>
          <w:spacing w:val="-3"/>
        </w:rPr>
      </w:pPr>
      <w:r>
        <w:rPr>
          <w:spacing w:val="-3"/>
        </w:rPr>
        <w:t xml:space="preserve">The control equipment consists of </w:t>
      </w:r>
      <w:r>
        <w:rPr>
          <w:iCs/>
          <w:spacing w:val="-3"/>
        </w:rPr>
        <w:t>a carbon system</w:t>
      </w:r>
      <w:r w:rsidR="00DE6BCD">
        <w:rPr>
          <w:iCs/>
          <w:spacing w:val="-3"/>
        </w:rPr>
        <w:t>, as described in Section IV above</w:t>
      </w:r>
      <w:r>
        <w:rPr>
          <w:spacing w:val="-3"/>
        </w:rPr>
        <w:t>.  The VOC-contaminated air from the extraction wells will be ducted through the carbon system where a minimum of 95% (by weight) of the VOC will be captured.  After treatment by the carbon system the</w:t>
      </w:r>
      <w:r w:rsidR="00C24613">
        <w:rPr>
          <w:spacing w:val="-3"/>
        </w:rPr>
        <w:t xml:space="preserve"> treated effluent stream</w:t>
      </w:r>
      <w:r>
        <w:rPr>
          <w:spacing w:val="-3"/>
        </w:rPr>
        <w:t xml:space="preserve"> is released to the atmosphere.  To prevent potential VOC emissions from the spent carbon canisters, the canisters will be sealed gas-tight and sent to a regeneration facility or landfill for disposal. </w:t>
      </w:r>
    </w:p>
    <w:p w:rsidR="00DB5DB6" w:rsidRDefault="00DB5DB6">
      <w:pPr>
        <w:suppressAutoHyphens/>
        <w:ind w:left="720"/>
        <w:jc w:val="both"/>
        <w:rPr>
          <w:spacing w:val="-3"/>
        </w:rPr>
      </w:pPr>
    </w:p>
    <w:p w:rsidR="00DB5DB6" w:rsidRDefault="00DB5DB6">
      <w:pPr>
        <w:suppressAutoHyphens/>
        <w:ind w:left="1440"/>
        <w:jc w:val="both"/>
        <w:rPr>
          <w:spacing w:val="-3"/>
        </w:rPr>
      </w:pPr>
    </w:p>
    <w:p w:rsidR="00DB5DB6" w:rsidRDefault="00DB5DB6">
      <w:pPr>
        <w:pStyle w:val="Heading1"/>
      </w:pPr>
      <w:r>
        <w:t>Emissions Calculations</w:t>
      </w:r>
    </w:p>
    <w:p w:rsidR="00DB5DB6" w:rsidRDefault="00DB5DB6">
      <w:pPr>
        <w:suppressAutoHyphens/>
        <w:jc w:val="both"/>
        <w:rPr>
          <w:spacing w:val="-3"/>
          <w:u w:val="single"/>
        </w:rPr>
      </w:pPr>
    </w:p>
    <w:p w:rsidR="00DB5DB6" w:rsidRDefault="00DB5DB6">
      <w:pPr>
        <w:pStyle w:val="Heading2"/>
        <w:rPr>
          <w:color w:val="000000"/>
        </w:rPr>
      </w:pPr>
      <w:r>
        <w:t>Assumptions</w:t>
      </w:r>
    </w:p>
    <w:p w:rsidR="00DB5DB6" w:rsidRDefault="00DB5DB6">
      <w:pPr>
        <w:suppressAutoHyphens/>
        <w:jc w:val="both"/>
        <w:rPr>
          <w:spacing w:val="-3"/>
        </w:rPr>
      </w:pPr>
    </w:p>
    <w:p w:rsidR="00DB5DB6" w:rsidRDefault="00DB5DB6">
      <w:pPr>
        <w:suppressAutoHyphens/>
        <w:ind w:left="360"/>
        <w:jc w:val="both"/>
        <w:rPr>
          <w:spacing w:val="-3"/>
        </w:rPr>
      </w:pPr>
      <w:r>
        <w:rPr>
          <w:spacing w:val="-3"/>
          <w:u w:val="single"/>
        </w:rPr>
        <w:t>Process Weight</w:t>
      </w:r>
      <w:r>
        <w:rPr>
          <w:spacing w:val="-3"/>
        </w:rPr>
        <w:t>:</w:t>
      </w:r>
    </w:p>
    <w:p w:rsidR="00DB5DB6" w:rsidRDefault="00DB5DB6">
      <w:pPr>
        <w:suppressAutoHyphens/>
        <w:ind w:left="720"/>
        <w:jc w:val="both"/>
        <w:rPr>
          <w:spacing w:val="-3"/>
        </w:rPr>
      </w:pPr>
    </w:p>
    <w:p w:rsidR="00DB5DB6" w:rsidRDefault="00DB5DB6">
      <w:pPr>
        <w:numPr>
          <w:ilvl w:val="0"/>
          <w:numId w:val="7"/>
        </w:numPr>
        <w:suppressAutoHyphens/>
        <w:jc w:val="both"/>
        <w:rPr>
          <w:spacing w:val="-3"/>
        </w:rPr>
      </w:pPr>
      <w:r>
        <w:rPr>
          <w:spacing w:val="-3"/>
        </w:rPr>
        <w:t>Maximum influent concentration:</w:t>
      </w:r>
      <w:r>
        <w:rPr>
          <w:spacing w:val="-3"/>
        </w:rPr>
        <w:tab/>
      </w:r>
      <w:r>
        <w:rPr>
          <w:color w:val="0000FF"/>
          <w:spacing w:val="-3"/>
        </w:rPr>
        <w:t>[  ]</w:t>
      </w:r>
      <w:r>
        <w:rPr>
          <w:spacing w:val="-3"/>
        </w:rPr>
        <w:t xml:space="preserve"> </w:t>
      </w:r>
      <w:r>
        <w:rPr>
          <w:color w:val="0000FF"/>
          <w:spacing w:val="-3"/>
        </w:rPr>
        <w:t>ppmv as gasoline</w:t>
      </w:r>
      <w:r>
        <w:rPr>
          <w:spacing w:val="-3"/>
        </w:rPr>
        <w:t xml:space="preserve"> of VOC being removed from the soil (proposed by applicant)</w:t>
      </w:r>
    </w:p>
    <w:p w:rsidR="00DB5DB6" w:rsidRDefault="00DB5DB6">
      <w:pPr>
        <w:numPr>
          <w:ilvl w:val="0"/>
          <w:numId w:val="7"/>
        </w:numPr>
        <w:tabs>
          <w:tab w:val="left" w:pos="2970"/>
          <w:tab w:val="left" w:pos="4590"/>
        </w:tabs>
        <w:suppressAutoHyphens/>
        <w:jc w:val="both"/>
        <w:rPr>
          <w:spacing w:val="-3"/>
        </w:rPr>
      </w:pPr>
      <w:r>
        <w:rPr>
          <w:spacing w:val="-3"/>
        </w:rPr>
        <w:t xml:space="preserve">Maximum influent rate: </w:t>
      </w:r>
      <w:r>
        <w:rPr>
          <w:color w:val="0000FF"/>
          <w:spacing w:val="-3"/>
        </w:rPr>
        <w:t>[   ]</w:t>
      </w:r>
      <w:r>
        <w:rPr>
          <w:color w:val="FF0000"/>
          <w:spacing w:val="-3"/>
        </w:rPr>
        <w:t xml:space="preserve"> </w:t>
      </w:r>
      <w:r>
        <w:rPr>
          <w:spacing w:val="-3"/>
        </w:rPr>
        <w:t>scfm</w:t>
      </w:r>
    </w:p>
    <w:p w:rsidR="006D71BA" w:rsidRDefault="00DB5DB6">
      <w:pPr>
        <w:numPr>
          <w:ilvl w:val="0"/>
          <w:numId w:val="7"/>
        </w:numPr>
        <w:suppressAutoHyphens/>
        <w:jc w:val="both"/>
        <w:rPr>
          <w:spacing w:val="-2"/>
        </w:rPr>
      </w:pPr>
      <w:r>
        <w:rPr>
          <w:spacing w:val="-3"/>
        </w:rPr>
        <w:t xml:space="preserve">Control efficiency:  </w:t>
      </w:r>
      <w:r>
        <w:rPr>
          <w:color w:val="0000FF"/>
          <w:spacing w:val="-3"/>
        </w:rPr>
        <w:t>[  ]</w:t>
      </w:r>
      <w:r>
        <w:rPr>
          <w:spacing w:val="-3"/>
        </w:rPr>
        <w:t>% (as proposed by the applicant)</w:t>
      </w:r>
      <w:r>
        <w:rPr>
          <w:spacing w:val="-2"/>
        </w:rPr>
        <w:t xml:space="preserve"> minimum BACT requirement</w:t>
      </w:r>
    </w:p>
    <w:p w:rsidR="008E50A2" w:rsidRPr="00D266D5" w:rsidRDefault="006D71BA" w:rsidP="008E50A2">
      <w:pPr>
        <w:numPr>
          <w:ilvl w:val="0"/>
          <w:numId w:val="7"/>
        </w:numPr>
        <w:suppressAutoHyphens/>
        <w:jc w:val="both"/>
        <w:rPr>
          <w:spacing w:val="-2"/>
        </w:rPr>
      </w:pPr>
      <w:r w:rsidRPr="008E50A2">
        <w:rPr>
          <w:spacing w:val="-2"/>
        </w:rPr>
        <w:t>Mo</w:t>
      </w:r>
      <w:r w:rsidR="00311C90" w:rsidRPr="008E50A2">
        <w:rPr>
          <w:spacing w:val="-2"/>
        </w:rPr>
        <w:t xml:space="preserve">lecular weight of gasoline = </w:t>
      </w:r>
      <w:r w:rsidR="002A558C">
        <w:rPr>
          <w:spacing w:val="-2"/>
        </w:rPr>
        <w:t>100</w:t>
      </w:r>
      <w:r w:rsidRPr="00A34FC2">
        <w:rPr>
          <w:spacing w:val="-2"/>
        </w:rPr>
        <w:t xml:space="preserve"> lb/lb-mole</w:t>
      </w:r>
      <w:r w:rsidR="00CA4D15" w:rsidRPr="00A34FC2">
        <w:rPr>
          <w:spacing w:val="-2"/>
        </w:rPr>
        <w:t xml:space="preserve"> (</w:t>
      </w:r>
      <w:r w:rsidR="008E50A2" w:rsidRPr="00A34FC2">
        <w:rPr>
          <w:spacing w:val="-2"/>
          <w:lang w:val="en"/>
        </w:rPr>
        <w:t>EPA On-line Tools for Site Assessment Calculation)</w:t>
      </w:r>
    </w:p>
    <w:p w:rsidR="00DB5DB6" w:rsidRPr="00A34FC2" w:rsidRDefault="006D71BA" w:rsidP="008E50A2">
      <w:pPr>
        <w:numPr>
          <w:ilvl w:val="0"/>
          <w:numId w:val="7"/>
        </w:numPr>
        <w:suppressAutoHyphens/>
        <w:jc w:val="both"/>
        <w:rPr>
          <w:spacing w:val="-2"/>
        </w:rPr>
      </w:pPr>
      <w:r w:rsidRPr="008E50A2">
        <w:rPr>
          <w:spacing w:val="-2"/>
        </w:rPr>
        <w:t>Molecular weight of methane = 16.043 lb/lb-mole</w:t>
      </w:r>
      <w:r w:rsidR="00DB5DB6" w:rsidRPr="00A34FC2">
        <w:rPr>
          <w:spacing w:val="-2"/>
        </w:rPr>
        <w:tab/>
      </w:r>
    </w:p>
    <w:p w:rsidR="00DB5DB6" w:rsidRDefault="00DB5DB6">
      <w:pPr>
        <w:tabs>
          <w:tab w:val="left" w:pos="4770"/>
          <w:tab w:val="left" w:pos="5670"/>
          <w:tab w:val="left" w:pos="5760"/>
          <w:tab w:val="left" w:pos="6930"/>
        </w:tabs>
        <w:suppressAutoHyphens/>
        <w:rPr>
          <w:spacing w:val="-3"/>
        </w:rPr>
      </w:pPr>
      <w:r>
        <w:rPr>
          <w:spacing w:val="-2"/>
        </w:rPr>
        <w:t xml:space="preserve"> </w:t>
      </w:r>
    </w:p>
    <w:p w:rsidR="00DB5DB6" w:rsidRDefault="00DB5DB6">
      <w:pPr>
        <w:pStyle w:val="Heading2"/>
      </w:pPr>
      <w:r>
        <w:t>Emission Factors</w:t>
      </w:r>
    </w:p>
    <w:p w:rsidR="00DB5DB6" w:rsidRDefault="00DB5DB6"/>
    <w:p w:rsidR="00DB5DB6" w:rsidRDefault="00DB5DB6">
      <w:pPr>
        <w:pStyle w:val="BodyTextIndent"/>
        <w:ind w:left="360"/>
        <w:jc w:val="left"/>
        <w:rPr>
          <w:i/>
          <w:color w:val="FF0000"/>
          <w:spacing w:val="-2"/>
        </w:rPr>
      </w:pPr>
      <w:r>
        <w:rPr>
          <w:i/>
          <w:color w:val="FF0000"/>
          <w:spacing w:val="-2"/>
        </w:rPr>
        <w:t>(Include the following conversion if ppmv provided is not in ppmv as methane)</w:t>
      </w:r>
    </w:p>
    <w:p w:rsidR="00DB5DB6" w:rsidRDefault="00DB5DB6">
      <w:pPr>
        <w:pStyle w:val="BodyTextIndent"/>
        <w:ind w:left="360"/>
        <w:jc w:val="left"/>
        <w:rPr>
          <w:iCs/>
          <w:spacing w:val="-2"/>
        </w:rPr>
      </w:pPr>
    </w:p>
    <w:p w:rsidR="00DB5DB6" w:rsidRDefault="00DB5DB6">
      <w:pPr>
        <w:pStyle w:val="BodyTextIndent"/>
        <w:ind w:left="360"/>
        <w:jc w:val="left"/>
        <w:rPr>
          <w:iCs/>
          <w:spacing w:val="-2"/>
        </w:rPr>
      </w:pPr>
      <w:r>
        <w:rPr>
          <w:iCs/>
          <w:spacing w:val="-2"/>
        </w:rPr>
        <w:t xml:space="preserve">VOC concentrations are measured with reference to methane.  This requires that the molecular weight be adjusted to methane.  Since the applicant stated that the maximum influent concentration is </w:t>
      </w:r>
      <w:r>
        <w:rPr>
          <w:iCs/>
          <w:color w:val="0000FF"/>
          <w:spacing w:val="-2"/>
        </w:rPr>
        <w:t xml:space="preserve">[ ] ppmv as [gasoline @ </w:t>
      </w:r>
      <w:r w:rsidR="002A558C">
        <w:rPr>
          <w:iCs/>
          <w:color w:val="0000FF"/>
          <w:spacing w:val="-2"/>
        </w:rPr>
        <w:t>100</w:t>
      </w:r>
      <w:r>
        <w:rPr>
          <w:iCs/>
          <w:color w:val="0000FF"/>
          <w:spacing w:val="-2"/>
        </w:rPr>
        <w:t xml:space="preserve"> lb/lb-mole]</w:t>
      </w:r>
      <w:r>
        <w:rPr>
          <w:iCs/>
          <w:spacing w:val="-2"/>
        </w:rPr>
        <w:t>, the adjusted concentration can be determined as follows:</w:t>
      </w:r>
    </w:p>
    <w:p w:rsidR="00DB5DB6" w:rsidRDefault="00DB5DB6">
      <w:pPr>
        <w:pStyle w:val="BodyTextIndent"/>
        <w:ind w:left="180"/>
        <w:jc w:val="left"/>
        <w:rPr>
          <w:iCs/>
          <w:spacing w:val="-2"/>
        </w:rPr>
      </w:pPr>
    </w:p>
    <w:p w:rsidR="00DB5DB6" w:rsidRDefault="00DB5DB6">
      <w:pPr>
        <w:pStyle w:val="BodyTextIndent"/>
        <w:ind w:left="360"/>
        <w:jc w:val="left"/>
        <w:rPr>
          <w:iCs/>
          <w:spacing w:val="-2"/>
          <w:vertAlign w:val="subscript"/>
        </w:rPr>
      </w:pPr>
      <w:r>
        <w:rPr>
          <w:iCs/>
          <w:spacing w:val="-2"/>
        </w:rPr>
        <w:t>(mass emissions)</w:t>
      </w:r>
      <w:r>
        <w:rPr>
          <w:iCs/>
          <w:spacing w:val="-2"/>
          <w:vertAlign w:val="subscript"/>
        </w:rPr>
        <w:t>as methane</w:t>
      </w:r>
      <w:r>
        <w:rPr>
          <w:iCs/>
          <w:spacing w:val="-2"/>
        </w:rPr>
        <w:t xml:space="preserve"> = mass emissions</w:t>
      </w:r>
      <w:r>
        <w:rPr>
          <w:iCs/>
          <w:spacing w:val="-2"/>
          <w:vertAlign w:val="subscript"/>
        </w:rPr>
        <w:t xml:space="preserve">as </w:t>
      </w:r>
      <w:r>
        <w:rPr>
          <w:iCs/>
          <w:color w:val="0000FF"/>
          <w:spacing w:val="-2"/>
          <w:vertAlign w:val="subscript"/>
        </w:rPr>
        <w:t>gasoline</w:t>
      </w:r>
    </w:p>
    <w:p w:rsidR="00DB5DB6" w:rsidRDefault="00DB5DB6">
      <w:pPr>
        <w:pStyle w:val="BodyTextIndent"/>
        <w:ind w:left="360"/>
        <w:jc w:val="left"/>
        <w:rPr>
          <w:iCs/>
          <w:spacing w:val="-2"/>
        </w:rPr>
      </w:pPr>
    </w:p>
    <w:p w:rsidR="00DB5DB6" w:rsidRDefault="00DB5DB6">
      <w:pPr>
        <w:pStyle w:val="BodyTextIndent"/>
        <w:ind w:left="360"/>
        <w:jc w:val="left"/>
        <w:rPr>
          <w:iCs/>
          <w:spacing w:val="-2"/>
        </w:rPr>
      </w:pPr>
      <w:r>
        <w:rPr>
          <w:iCs/>
          <w:spacing w:val="-2"/>
        </w:rPr>
        <w:lastRenderedPageBreak/>
        <w:t xml:space="preserve">(concentration x </w:t>
      </w:r>
      <w:r>
        <w:rPr>
          <w:iCs/>
          <w:strike/>
          <w:spacing w:val="-2"/>
        </w:rPr>
        <w:t>flowrate</w:t>
      </w:r>
      <w:r>
        <w:rPr>
          <w:iCs/>
          <w:spacing w:val="-2"/>
        </w:rPr>
        <w:t xml:space="preserve"> x </w:t>
      </w:r>
      <w:r>
        <w:rPr>
          <w:iCs/>
          <w:strike/>
          <w:spacing w:val="-2"/>
        </w:rPr>
        <w:t>molar volume</w:t>
      </w:r>
      <w:r>
        <w:rPr>
          <w:iCs/>
          <w:spacing w:val="-2"/>
        </w:rPr>
        <w:t xml:space="preserve"> x molecular weight)</w:t>
      </w:r>
      <w:r>
        <w:rPr>
          <w:iCs/>
          <w:spacing w:val="-2"/>
          <w:vertAlign w:val="subscript"/>
        </w:rPr>
        <w:t xml:space="preserve">methane </w:t>
      </w:r>
      <w:r>
        <w:rPr>
          <w:iCs/>
          <w:spacing w:val="-2"/>
        </w:rPr>
        <w:t xml:space="preserve">= (concentration x </w:t>
      </w:r>
      <w:r>
        <w:rPr>
          <w:iCs/>
          <w:strike/>
          <w:spacing w:val="-2"/>
        </w:rPr>
        <w:t>flowrate</w:t>
      </w:r>
      <w:r>
        <w:rPr>
          <w:iCs/>
          <w:spacing w:val="-2"/>
        </w:rPr>
        <w:t xml:space="preserve"> x </w:t>
      </w:r>
      <w:r>
        <w:rPr>
          <w:iCs/>
          <w:strike/>
          <w:spacing w:val="-2"/>
        </w:rPr>
        <w:t>molar volume</w:t>
      </w:r>
      <w:r>
        <w:rPr>
          <w:iCs/>
          <w:spacing w:val="-2"/>
        </w:rPr>
        <w:t xml:space="preserve"> x molecular weight)</w:t>
      </w:r>
      <w:r>
        <w:rPr>
          <w:iCs/>
          <w:color w:val="0000FF"/>
          <w:spacing w:val="-2"/>
          <w:vertAlign w:val="subscript"/>
        </w:rPr>
        <w:t>gasoline</w:t>
      </w:r>
    </w:p>
    <w:p w:rsidR="00DB5DB6" w:rsidRDefault="00DB5DB6">
      <w:pPr>
        <w:pStyle w:val="BodyTextIndent"/>
        <w:ind w:left="360"/>
        <w:jc w:val="left"/>
        <w:rPr>
          <w:iCs/>
          <w:spacing w:val="-2"/>
        </w:rPr>
      </w:pPr>
    </w:p>
    <w:p w:rsidR="00DB5DB6" w:rsidRDefault="00DB5DB6">
      <w:pPr>
        <w:pStyle w:val="BodyTextIndent"/>
        <w:ind w:left="360"/>
        <w:jc w:val="left"/>
        <w:rPr>
          <w:iCs/>
          <w:spacing w:val="-2"/>
        </w:rPr>
      </w:pPr>
      <w:r>
        <w:rPr>
          <w:iCs/>
          <w:spacing w:val="-2"/>
        </w:rPr>
        <w:t>(concentration x molecular weight)</w:t>
      </w:r>
      <w:r>
        <w:rPr>
          <w:iCs/>
          <w:spacing w:val="-2"/>
          <w:vertAlign w:val="subscript"/>
        </w:rPr>
        <w:t>methane</w:t>
      </w:r>
      <w:r>
        <w:rPr>
          <w:iCs/>
          <w:spacing w:val="-2"/>
        </w:rPr>
        <w:t xml:space="preserve"> = (concentration x molecular weight)</w:t>
      </w:r>
      <w:r>
        <w:rPr>
          <w:iCs/>
          <w:color w:val="0000FF"/>
          <w:spacing w:val="-2"/>
          <w:vertAlign w:val="subscript"/>
        </w:rPr>
        <w:t>gasoline</w:t>
      </w:r>
    </w:p>
    <w:p w:rsidR="00DB5DB6" w:rsidRDefault="00DB5DB6">
      <w:pPr>
        <w:pStyle w:val="BodyTextIndent"/>
        <w:ind w:left="360"/>
        <w:jc w:val="left"/>
        <w:rPr>
          <w:iCs/>
          <w:spacing w:val="-2"/>
        </w:rPr>
      </w:pPr>
    </w:p>
    <w:p w:rsidR="00DB5DB6" w:rsidRDefault="00DB5DB6">
      <w:pPr>
        <w:suppressAutoHyphens/>
        <w:ind w:firstLine="360"/>
        <w:rPr>
          <w:spacing w:val="-3"/>
        </w:rPr>
      </w:pPr>
    </w:p>
    <w:p w:rsidR="00DB5DB6" w:rsidRDefault="00DB5DB6">
      <w:pPr>
        <w:suppressAutoHyphens/>
        <w:rPr>
          <w:spacing w:val="-3"/>
        </w:rPr>
      </w:pPr>
    </w:p>
    <w:p w:rsidR="00C24613" w:rsidRDefault="00C24613">
      <w:pPr>
        <w:suppressAutoHyphens/>
        <w:jc w:val="both"/>
        <w:rPr>
          <w:spacing w:val="-3"/>
        </w:rPr>
      </w:pPr>
    </w:p>
    <w:p w:rsidR="00DB5DB6" w:rsidRDefault="00DB5DB6">
      <w:pPr>
        <w:pStyle w:val="Heading2"/>
      </w:pPr>
      <w:r>
        <w:t>Calculations</w:t>
      </w:r>
    </w:p>
    <w:p w:rsidR="00DB5DB6" w:rsidRDefault="00DB5DB6">
      <w:pPr>
        <w:suppressAutoHyphens/>
        <w:ind w:left="720"/>
        <w:jc w:val="both"/>
        <w:rPr>
          <w:spacing w:val="-3"/>
        </w:rPr>
      </w:pPr>
    </w:p>
    <w:p w:rsidR="00DB5DB6" w:rsidRDefault="00DB5DB6">
      <w:pPr>
        <w:pStyle w:val="Heading3"/>
      </w:pPr>
      <w:r>
        <w:t>Pre-Project Potential to Emit (PE1)</w:t>
      </w:r>
    </w:p>
    <w:p w:rsidR="00DB5DB6" w:rsidRDefault="00DB5DB6">
      <w:pPr>
        <w:suppressAutoHyphens/>
        <w:jc w:val="both"/>
        <w:rPr>
          <w:spacing w:val="-3"/>
        </w:rPr>
      </w:pPr>
    </w:p>
    <w:p w:rsidR="00DB5DB6" w:rsidRDefault="00DB5DB6">
      <w:pPr>
        <w:suppressAutoHyphens/>
        <w:ind w:left="720"/>
        <w:jc w:val="both"/>
        <w:rPr>
          <w:spacing w:val="-3"/>
        </w:rPr>
      </w:pPr>
      <w:r>
        <w:rPr>
          <w:spacing w:val="-3"/>
        </w:rPr>
        <w:t>Since this is a new emissions unit, the PE</w:t>
      </w:r>
      <w:r>
        <w:rPr>
          <w:spacing w:val="-3"/>
          <w:vertAlign w:val="subscript"/>
        </w:rPr>
        <w:t>1</w:t>
      </w:r>
      <w:r>
        <w:rPr>
          <w:spacing w:val="-3"/>
        </w:rPr>
        <w:t xml:space="preserve"> = 0</w:t>
      </w:r>
    </w:p>
    <w:p w:rsidR="00DB5DB6" w:rsidRDefault="00DB5DB6">
      <w:pPr>
        <w:suppressAutoHyphens/>
        <w:ind w:left="1440"/>
        <w:jc w:val="both"/>
        <w:rPr>
          <w:spacing w:val="-3"/>
        </w:rPr>
      </w:pPr>
    </w:p>
    <w:p w:rsidR="00DB5DB6" w:rsidRDefault="00DB5DB6">
      <w:pPr>
        <w:suppressAutoHyphens/>
        <w:jc w:val="both"/>
        <w:rPr>
          <w:i/>
          <w:iCs/>
          <w:color w:val="FF0000"/>
          <w:spacing w:val="-3"/>
        </w:rPr>
      </w:pPr>
      <w:r>
        <w:rPr>
          <w:spacing w:val="-3"/>
        </w:rPr>
        <w:tab/>
      </w:r>
      <w:r>
        <w:rPr>
          <w:i/>
          <w:iCs/>
          <w:color w:val="FF0000"/>
          <w:spacing w:val="-3"/>
        </w:rPr>
        <w:t>OR</w:t>
      </w:r>
    </w:p>
    <w:p w:rsidR="00DB5DB6" w:rsidRDefault="00DB5DB6">
      <w:pPr>
        <w:suppressAutoHyphens/>
        <w:jc w:val="both"/>
        <w:rPr>
          <w:i/>
          <w:iCs/>
          <w:color w:val="FF0000"/>
          <w:spacing w:val="-3"/>
        </w:rPr>
      </w:pPr>
    </w:p>
    <w:p w:rsidR="00DB5DB6" w:rsidRDefault="00DB5DB6">
      <w:pPr>
        <w:suppressAutoHyphens/>
        <w:jc w:val="both"/>
        <w:rPr>
          <w:color w:val="FF0000"/>
          <w:spacing w:val="-3"/>
        </w:rPr>
      </w:pPr>
      <w:r>
        <w:rPr>
          <w:color w:val="FF0000"/>
          <w:spacing w:val="-3"/>
        </w:rPr>
        <w:tab/>
      </w:r>
      <w:r>
        <w:rPr>
          <w:color w:val="000000"/>
        </w:rPr>
        <w:t>The daily, annual, and quarterly pre-project emissions are shown below:</w:t>
      </w:r>
    </w:p>
    <w:p w:rsidR="00DB5DB6" w:rsidRDefault="00DB5DB6">
      <w:pPr>
        <w:suppressAutoHyphens/>
        <w:jc w:val="both"/>
        <w:rPr>
          <w:color w:val="FF0000"/>
          <w:spacing w:val="-3"/>
        </w:rPr>
      </w:pPr>
    </w:p>
    <w:tbl>
      <w:tblPr>
        <w:tblW w:w="0" w:type="auto"/>
        <w:tblInd w:w="15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00"/>
        <w:gridCol w:w="1620"/>
        <w:gridCol w:w="1800"/>
        <w:gridCol w:w="1800"/>
      </w:tblGrid>
      <w:tr w:rsidR="00DB5DB6" w:rsidTr="00D917EC">
        <w:trPr>
          <w:cantSplit/>
          <w:trHeight w:val="428"/>
        </w:trPr>
        <w:tc>
          <w:tcPr>
            <w:tcW w:w="7020" w:type="dxa"/>
            <w:gridSpan w:val="4"/>
            <w:tcBorders>
              <w:top w:val="double" w:sz="4" w:space="0" w:color="auto"/>
              <w:left w:val="double" w:sz="4" w:space="0" w:color="auto"/>
              <w:bottom w:val="double" w:sz="6" w:space="0" w:color="000000"/>
              <w:right w:val="double" w:sz="4" w:space="0" w:color="auto"/>
            </w:tcBorders>
            <w:shd w:val="clear" w:color="auto" w:fill="auto"/>
            <w:vAlign w:val="center"/>
          </w:tcPr>
          <w:p w:rsidR="00DB5DB6" w:rsidRDefault="00DB5DB6">
            <w:pPr>
              <w:keepNext/>
              <w:keepLines/>
              <w:spacing w:before="40" w:after="40"/>
              <w:jc w:val="center"/>
              <w:rPr>
                <w:b/>
                <w:bCs/>
                <w:vertAlign w:val="subscript"/>
              </w:rPr>
            </w:pPr>
            <w:r>
              <w:rPr>
                <w:b/>
                <w:bCs/>
              </w:rPr>
              <w:t>Pre-Project Potential to Emit (PE1)</w:t>
            </w:r>
          </w:p>
        </w:tc>
      </w:tr>
      <w:tr w:rsidR="00DB5DB6" w:rsidTr="00D917EC">
        <w:trPr>
          <w:cantSplit/>
          <w:trHeight w:val="122"/>
        </w:trPr>
        <w:tc>
          <w:tcPr>
            <w:tcW w:w="1800" w:type="dxa"/>
            <w:tcBorders>
              <w:top w:val="double" w:sz="6" w:space="0" w:color="000000"/>
              <w:left w:val="double" w:sz="4" w:space="0" w:color="auto"/>
              <w:bottom w:val="double" w:sz="6" w:space="0" w:color="000000"/>
            </w:tcBorders>
            <w:shd w:val="clear" w:color="auto" w:fill="auto"/>
            <w:vAlign w:val="center"/>
          </w:tcPr>
          <w:p w:rsidR="00DB5DB6" w:rsidRDefault="00DB5DB6">
            <w:pPr>
              <w:keepNext/>
              <w:jc w:val="center"/>
              <w:rPr>
                <w:b/>
                <w:bCs/>
              </w:rPr>
            </w:pPr>
          </w:p>
        </w:tc>
        <w:tc>
          <w:tcPr>
            <w:tcW w:w="1620" w:type="dxa"/>
            <w:tcBorders>
              <w:top w:val="double" w:sz="6" w:space="0" w:color="000000"/>
              <w:bottom w:val="double" w:sz="6" w:space="0" w:color="000000"/>
            </w:tcBorders>
            <w:shd w:val="clear" w:color="auto" w:fill="auto"/>
            <w:vAlign w:val="center"/>
          </w:tcPr>
          <w:p w:rsidR="00DB5DB6" w:rsidRDefault="00DB5DB6">
            <w:pPr>
              <w:keepNext/>
              <w:keepLines/>
              <w:jc w:val="center"/>
              <w:rPr>
                <w:b/>
                <w:bCs/>
              </w:rPr>
            </w:pPr>
            <w:r>
              <w:rPr>
                <w:b/>
                <w:bCs/>
              </w:rPr>
              <w:t>Daily PE</w:t>
            </w:r>
          </w:p>
        </w:tc>
        <w:tc>
          <w:tcPr>
            <w:tcW w:w="1800" w:type="dxa"/>
            <w:tcBorders>
              <w:top w:val="double" w:sz="6" w:space="0" w:color="000000"/>
              <w:bottom w:val="double" w:sz="6" w:space="0" w:color="000000"/>
            </w:tcBorders>
            <w:shd w:val="clear" w:color="auto" w:fill="auto"/>
            <w:vAlign w:val="center"/>
          </w:tcPr>
          <w:p w:rsidR="00DB5DB6" w:rsidRDefault="00DB5DB6">
            <w:pPr>
              <w:keepNext/>
              <w:keepLines/>
              <w:jc w:val="center"/>
              <w:rPr>
                <w:b/>
                <w:bCs/>
              </w:rPr>
            </w:pPr>
            <w:r>
              <w:rPr>
                <w:b/>
                <w:bCs/>
              </w:rPr>
              <w:t>Annual PE</w:t>
            </w:r>
          </w:p>
        </w:tc>
        <w:tc>
          <w:tcPr>
            <w:tcW w:w="1800" w:type="dxa"/>
            <w:tcBorders>
              <w:top w:val="double" w:sz="6" w:space="0" w:color="000000"/>
              <w:bottom w:val="double" w:sz="6" w:space="0" w:color="000000"/>
              <w:right w:val="double" w:sz="4" w:space="0" w:color="auto"/>
            </w:tcBorders>
            <w:shd w:val="clear" w:color="auto" w:fill="auto"/>
            <w:vAlign w:val="center"/>
          </w:tcPr>
          <w:p w:rsidR="00DB5DB6" w:rsidRDefault="00DB5DB6">
            <w:pPr>
              <w:keepNext/>
              <w:keepLines/>
              <w:jc w:val="center"/>
              <w:rPr>
                <w:b/>
                <w:bCs/>
              </w:rPr>
            </w:pPr>
            <w:r>
              <w:rPr>
                <w:b/>
                <w:bCs/>
              </w:rPr>
              <w:t>Quarterly PE</w:t>
            </w:r>
          </w:p>
        </w:tc>
      </w:tr>
      <w:tr w:rsidR="00DB5DB6">
        <w:tc>
          <w:tcPr>
            <w:tcW w:w="1800" w:type="dxa"/>
            <w:tcBorders>
              <w:left w:val="double" w:sz="4" w:space="0" w:color="auto"/>
            </w:tcBorders>
          </w:tcPr>
          <w:p w:rsidR="00DB5DB6" w:rsidRDefault="00DB5DB6">
            <w:pPr>
              <w:keepNext/>
              <w:suppressAutoHyphens/>
              <w:jc w:val="center"/>
              <w:rPr>
                <w:spacing w:val="-3"/>
              </w:rPr>
            </w:pPr>
            <w:r>
              <w:rPr>
                <w:spacing w:val="-3"/>
              </w:rPr>
              <w:t>NO</w:t>
            </w:r>
            <w:r>
              <w:rPr>
                <w:spacing w:val="-3"/>
                <w:vertAlign w:val="subscript"/>
              </w:rPr>
              <w:t>x</w:t>
            </w:r>
          </w:p>
        </w:tc>
        <w:tc>
          <w:tcPr>
            <w:tcW w:w="1620" w:type="dxa"/>
          </w:tcPr>
          <w:p w:rsidR="00DB5DB6" w:rsidRDefault="00DB5DB6">
            <w:pPr>
              <w:keepNext/>
              <w:keepLines/>
              <w:framePr w:hSpace="187" w:wrap="notBeside" w:vAnchor="text" w:hAnchor="page" w:x="1970" w:y="73"/>
              <w:jc w:val="center"/>
            </w:pPr>
            <w:r>
              <w:t>--</w:t>
            </w:r>
          </w:p>
        </w:tc>
        <w:tc>
          <w:tcPr>
            <w:tcW w:w="1800" w:type="dxa"/>
          </w:tcPr>
          <w:p w:rsidR="00DB5DB6" w:rsidRDefault="00DB5DB6">
            <w:pPr>
              <w:keepNext/>
              <w:keepLines/>
              <w:framePr w:hSpace="187" w:wrap="notBeside" w:vAnchor="text" w:hAnchor="page" w:x="1970" w:y="73"/>
              <w:jc w:val="center"/>
            </w:pPr>
            <w:r>
              <w:t>--</w:t>
            </w:r>
          </w:p>
        </w:tc>
        <w:tc>
          <w:tcPr>
            <w:tcW w:w="1800" w:type="dxa"/>
            <w:tcBorders>
              <w:right w:val="double" w:sz="4" w:space="0" w:color="auto"/>
            </w:tcBorders>
          </w:tcPr>
          <w:p w:rsidR="00DB5DB6" w:rsidRDefault="00DB5DB6">
            <w:pPr>
              <w:keepNext/>
              <w:keepLines/>
              <w:framePr w:hSpace="187" w:wrap="notBeside" w:vAnchor="text" w:hAnchor="page" w:x="1970" w:y="73"/>
              <w:jc w:val="center"/>
            </w:pPr>
            <w:r>
              <w:t>--</w:t>
            </w:r>
          </w:p>
        </w:tc>
      </w:tr>
      <w:tr w:rsidR="00DB5DB6">
        <w:tc>
          <w:tcPr>
            <w:tcW w:w="1800" w:type="dxa"/>
            <w:tcBorders>
              <w:left w:val="double" w:sz="4" w:space="0" w:color="auto"/>
            </w:tcBorders>
          </w:tcPr>
          <w:p w:rsidR="00DB5DB6" w:rsidRDefault="00DB5DB6">
            <w:pPr>
              <w:keepNext/>
              <w:suppressAutoHyphens/>
              <w:jc w:val="center"/>
              <w:rPr>
                <w:spacing w:val="-3"/>
              </w:rPr>
            </w:pPr>
            <w:r>
              <w:rPr>
                <w:spacing w:val="-3"/>
              </w:rPr>
              <w:t>SO</w:t>
            </w:r>
            <w:r>
              <w:rPr>
                <w:spacing w:val="-3"/>
                <w:vertAlign w:val="subscript"/>
              </w:rPr>
              <w:t>x</w:t>
            </w:r>
          </w:p>
        </w:tc>
        <w:tc>
          <w:tcPr>
            <w:tcW w:w="1620" w:type="dxa"/>
          </w:tcPr>
          <w:p w:rsidR="00DB5DB6" w:rsidRDefault="00DB5DB6">
            <w:pPr>
              <w:keepNext/>
              <w:keepLines/>
              <w:framePr w:hSpace="187" w:wrap="notBeside" w:vAnchor="text" w:hAnchor="page" w:x="1970" w:y="73"/>
              <w:jc w:val="center"/>
            </w:pPr>
            <w:r>
              <w:t>--</w:t>
            </w:r>
          </w:p>
        </w:tc>
        <w:tc>
          <w:tcPr>
            <w:tcW w:w="1800" w:type="dxa"/>
          </w:tcPr>
          <w:p w:rsidR="00DB5DB6" w:rsidRDefault="00DB5DB6">
            <w:pPr>
              <w:keepNext/>
              <w:keepLines/>
              <w:framePr w:hSpace="187" w:wrap="notBeside" w:vAnchor="text" w:hAnchor="page" w:x="1970" w:y="73"/>
              <w:jc w:val="center"/>
            </w:pPr>
            <w:r>
              <w:t>--</w:t>
            </w:r>
          </w:p>
        </w:tc>
        <w:tc>
          <w:tcPr>
            <w:tcW w:w="1800" w:type="dxa"/>
            <w:tcBorders>
              <w:right w:val="double" w:sz="4" w:space="0" w:color="auto"/>
            </w:tcBorders>
          </w:tcPr>
          <w:p w:rsidR="00DB5DB6" w:rsidRDefault="00DB5DB6">
            <w:pPr>
              <w:keepNext/>
              <w:keepLines/>
              <w:framePr w:hSpace="187" w:wrap="notBeside" w:vAnchor="text" w:hAnchor="page" w:x="1970" w:y="73"/>
              <w:jc w:val="center"/>
            </w:pPr>
            <w:r>
              <w:t>--</w:t>
            </w:r>
          </w:p>
        </w:tc>
      </w:tr>
      <w:tr w:rsidR="00DB5DB6">
        <w:tc>
          <w:tcPr>
            <w:tcW w:w="1800" w:type="dxa"/>
            <w:tcBorders>
              <w:left w:val="double" w:sz="4" w:space="0" w:color="auto"/>
            </w:tcBorders>
          </w:tcPr>
          <w:p w:rsidR="00DB5DB6" w:rsidRDefault="00DB5DB6">
            <w:pPr>
              <w:keepNext/>
              <w:suppressAutoHyphens/>
              <w:jc w:val="center"/>
              <w:rPr>
                <w:spacing w:val="-3"/>
              </w:rPr>
            </w:pPr>
            <w:r>
              <w:rPr>
                <w:spacing w:val="-3"/>
              </w:rPr>
              <w:t>PM</w:t>
            </w:r>
            <w:r>
              <w:rPr>
                <w:spacing w:val="-3"/>
                <w:vertAlign w:val="subscript"/>
              </w:rPr>
              <w:t>10</w:t>
            </w:r>
          </w:p>
        </w:tc>
        <w:tc>
          <w:tcPr>
            <w:tcW w:w="1620" w:type="dxa"/>
          </w:tcPr>
          <w:p w:rsidR="00DB5DB6" w:rsidRDefault="00DB5DB6">
            <w:pPr>
              <w:keepNext/>
              <w:keepLines/>
              <w:framePr w:hSpace="187" w:wrap="notBeside" w:vAnchor="text" w:hAnchor="page" w:x="1970" w:y="73"/>
              <w:jc w:val="center"/>
            </w:pPr>
            <w:r>
              <w:t>--</w:t>
            </w:r>
          </w:p>
        </w:tc>
        <w:tc>
          <w:tcPr>
            <w:tcW w:w="1800" w:type="dxa"/>
          </w:tcPr>
          <w:p w:rsidR="00DB5DB6" w:rsidRDefault="00DB5DB6">
            <w:pPr>
              <w:keepNext/>
              <w:keepLines/>
              <w:framePr w:hSpace="187" w:wrap="notBeside" w:vAnchor="text" w:hAnchor="page" w:x="1970" w:y="73"/>
              <w:jc w:val="center"/>
            </w:pPr>
            <w:r>
              <w:t>--</w:t>
            </w:r>
          </w:p>
        </w:tc>
        <w:tc>
          <w:tcPr>
            <w:tcW w:w="1800" w:type="dxa"/>
            <w:tcBorders>
              <w:right w:val="double" w:sz="4" w:space="0" w:color="auto"/>
            </w:tcBorders>
          </w:tcPr>
          <w:p w:rsidR="00DB5DB6" w:rsidRDefault="00DB5DB6">
            <w:pPr>
              <w:keepNext/>
              <w:keepLines/>
              <w:framePr w:hSpace="187" w:wrap="notBeside" w:vAnchor="text" w:hAnchor="page" w:x="1970" w:y="73"/>
              <w:jc w:val="center"/>
            </w:pPr>
            <w:r>
              <w:t>--</w:t>
            </w:r>
          </w:p>
        </w:tc>
      </w:tr>
      <w:tr w:rsidR="00DB5DB6">
        <w:tc>
          <w:tcPr>
            <w:tcW w:w="1800" w:type="dxa"/>
            <w:tcBorders>
              <w:left w:val="double" w:sz="4" w:space="0" w:color="auto"/>
            </w:tcBorders>
          </w:tcPr>
          <w:p w:rsidR="00DB5DB6" w:rsidRDefault="00DB5DB6">
            <w:pPr>
              <w:keepNext/>
              <w:suppressAutoHyphens/>
              <w:jc w:val="center"/>
              <w:rPr>
                <w:spacing w:val="-3"/>
              </w:rPr>
            </w:pPr>
            <w:r>
              <w:rPr>
                <w:spacing w:val="-3"/>
              </w:rPr>
              <w:t>CO</w:t>
            </w:r>
          </w:p>
        </w:tc>
        <w:tc>
          <w:tcPr>
            <w:tcW w:w="1620" w:type="dxa"/>
          </w:tcPr>
          <w:p w:rsidR="00DB5DB6" w:rsidRDefault="00DB5DB6">
            <w:pPr>
              <w:keepNext/>
              <w:keepLines/>
              <w:framePr w:hSpace="187" w:wrap="notBeside" w:vAnchor="text" w:hAnchor="page" w:x="1970" w:y="73"/>
              <w:jc w:val="center"/>
            </w:pPr>
            <w:r>
              <w:t>--</w:t>
            </w:r>
          </w:p>
        </w:tc>
        <w:tc>
          <w:tcPr>
            <w:tcW w:w="1800" w:type="dxa"/>
          </w:tcPr>
          <w:p w:rsidR="00DB5DB6" w:rsidRDefault="00DB5DB6">
            <w:pPr>
              <w:keepNext/>
              <w:keepLines/>
              <w:framePr w:hSpace="187" w:wrap="notBeside" w:vAnchor="text" w:hAnchor="page" w:x="1970" w:y="73"/>
              <w:jc w:val="center"/>
            </w:pPr>
            <w:r>
              <w:t>--</w:t>
            </w:r>
          </w:p>
        </w:tc>
        <w:tc>
          <w:tcPr>
            <w:tcW w:w="1800" w:type="dxa"/>
            <w:tcBorders>
              <w:right w:val="double" w:sz="4" w:space="0" w:color="auto"/>
            </w:tcBorders>
          </w:tcPr>
          <w:p w:rsidR="00DB5DB6" w:rsidRDefault="00DB5DB6">
            <w:pPr>
              <w:keepNext/>
              <w:keepLines/>
              <w:framePr w:hSpace="187" w:wrap="notBeside" w:vAnchor="text" w:hAnchor="page" w:x="1970" w:y="73"/>
              <w:jc w:val="center"/>
            </w:pPr>
            <w:r>
              <w:t>--</w:t>
            </w:r>
          </w:p>
        </w:tc>
      </w:tr>
      <w:tr w:rsidR="00DB5DB6">
        <w:tc>
          <w:tcPr>
            <w:tcW w:w="1800" w:type="dxa"/>
            <w:tcBorders>
              <w:left w:val="double" w:sz="4" w:space="0" w:color="auto"/>
              <w:bottom w:val="double" w:sz="4" w:space="0" w:color="auto"/>
            </w:tcBorders>
          </w:tcPr>
          <w:p w:rsidR="00DB5DB6" w:rsidRDefault="00DB5DB6">
            <w:pPr>
              <w:keepNext/>
              <w:suppressAutoHyphens/>
              <w:jc w:val="center"/>
              <w:rPr>
                <w:spacing w:val="-3"/>
              </w:rPr>
            </w:pPr>
            <w:r>
              <w:rPr>
                <w:spacing w:val="-3"/>
              </w:rPr>
              <w:t>VOC</w:t>
            </w:r>
          </w:p>
        </w:tc>
        <w:tc>
          <w:tcPr>
            <w:tcW w:w="1620" w:type="dxa"/>
            <w:tcBorders>
              <w:bottom w:val="double" w:sz="4" w:space="0" w:color="auto"/>
            </w:tcBorders>
          </w:tcPr>
          <w:p w:rsidR="00DB5DB6" w:rsidRDefault="00DB5DB6">
            <w:pPr>
              <w:keepNext/>
              <w:keepLines/>
              <w:framePr w:hSpace="187" w:wrap="notBeside" w:vAnchor="text" w:hAnchor="page" w:x="1970" w:y="73"/>
              <w:jc w:val="center"/>
              <w:rPr>
                <w:color w:val="0000FF"/>
              </w:rPr>
            </w:pPr>
            <w:r>
              <w:rPr>
                <w:color w:val="0000FF"/>
              </w:rPr>
              <w:t>[  ]</w:t>
            </w:r>
          </w:p>
        </w:tc>
        <w:tc>
          <w:tcPr>
            <w:tcW w:w="1800" w:type="dxa"/>
            <w:tcBorders>
              <w:bottom w:val="double" w:sz="4" w:space="0" w:color="auto"/>
            </w:tcBorders>
          </w:tcPr>
          <w:p w:rsidR="00DB5DB6" w:rsidRDefault="00DB5DB6">
            <w:pPr>
              <w:keepNext/>
              <w:keepLines/>
              <w:framePr w:hSpace="187" w:wrap="notBeside" w:vAnchor="text" w:hAnchor="page" w:x="1970" w:y="73"/>
              <w:jc w:val="center"/>
              <w:rPr>
                <w:color w:val="0000FF"/>
              </w:rPr>
            </w:pPr>
            <w:r>
              <w:rPr>
                <w:color w:val="0000FF"/>
              </w:rPr>
              <w:t>[  ]</w:t>
            </w:r>
          </w:p>
        </w:tc>
        <w:tc>
          <w:tcPr>
            <w:tcW w:w="1800" w:type="dxa"/>
            <w:tcBorders>
              <w:bottom w:val="double" w:sz="4" w:space="0" w:color="auto"/>
              <w:right w:val="double" w:sz="4" w:space="0" w:color="auto"/>
            </w:tcBorders>
          </w:tcPr>
          <w:p w:rsidR="00DB5DB6" w:rsidRDefault="00DB5DB6">
            <w:pPr>
              <w:keepNext/>
              <w:keepLines/>
              <w:framePr w:hSpace="187" w:wrap="notBeside" w:vAnchor="text" w:hAnchor="page" w:x="1970" w:y="73"/>
              <w:jc w:val="center"/>
              <w:rPr>
                <w:color w:val="0000FF"/>
              </w:rPr>
            </w:pPr>
            <w:r>
              <w:rPr>
                <w:color w:val="0000FF"/>
              </w:rPr>
              <w:t>[  ]</w:t>
            </w:r>
          </w:p>
        </w:tc>
      </w:tr>
    </w:tbl>
    <w:p w:rsidR="00DB5DB6" w:rsidRDefault="00DB5DB6">
      <w:pPr>
        <w:suppressAutoHyphens/>
        <w:jc w:val="both"/>
        <w:rPr>
          <w:spacing w:val="-3"/>
        </w:rPr>
      </w:pPr>
    </w:p>
    <w:p w:rsidR="00DB5DB6" w:rsidRDefault="00DB5DB6">
      <w:pPr>
        <w:pStyle w:val="Heading3"/>
      </w:pPr>
      <w:r>
        <w:t>Post Project Potential to Emit PE (PE2)</w:t>
      </w:r>
    </w:p>
    <w:p w:rsidR="00DB5DB6" w:rsidRDefault="00DB5DB6">
      <w:pPr>
        <w:suppressAutoHyphens/>
        <w:ind w:left="1440"/>
        <w:jc w:val="both"/>
        <w:rPr>
          <w:b/>
          <w:bCs/>
          <w:spacing w:val="-3"/>
        </w:rPr>
      </w:pPr>
    </w:p>
    <w:p w:rsidR="00A34FC2" w:rsidRPr="00D266D5" w:rsidRDefault="00A34FC2" w:rsidP="00A34FC2">
      <w:pPr>
        <w:suppressAutoHyphens/>
        <w:ind w:left="1440"/>
        <w:jc w:val="both"/>
        <w:rPr>
          <w:bCs/>
          <w:iCs/>
          <w:spacing w:val="-3"/>
        </w:rPr>
      </w:pPr>
      <w:r w:rsidRPr="00D266D5">
        <w:rPr>
          <w:bCs/>
          <w:iCs/>
          <w:spacing w:val="-3"/>
        </w:rPr>
        <w:t>Influent concentration</w:t>
      </w:r>
      <w:r w:rsidRPr="00D266D5">
        <w:rPr>
          <w:bCs/>
          <w:iCs/>
          <w:spacing w:val="-3"/>
          <w:vertAlign w:val="subscript"/>
        </w:rPr>
        <w:t>methane</w:t>
      </w:r>
    </w:p>
    <w:p w:rsidR="00A34FC2" w:rsidRPr="00D266D5" w:rsidRDefault="00A34FC2" w:rsidP="00A34FC2">
      <w:pPr>
        <w:suppressAutoHyphens/>
        <w:ind w:left="1440"/>
        <w:jc w:val="both"/>
        <w:rPr>
          <w:bCs/>
          <w:iCs/>
          <w:spacing w:val="-3"/>
          <w:vertAlign w:val="subscript"/>
        </w:rPr>
      </w:pPr>
      <w:r w:rsidRPr="00D266D5">
        <w:rPr>
          <w:bCs/>
          <w:iCs/>
          <w:spacing w:val="-3"/>
        </w:rPr>
        <w:t>= concentration</w:t>
      </w:r>
      <w:r w:rsidRPr="00D266D5">
        <w:rPr>
          <w:bCs/>
          <w:iCs/>
          <w:spacing w:val="-3"/>
          <w:vertAlign w:val="subscript"/>
        </w:rPr>
        <w:t>gasoline</w:t>
      </w:r>
      <w:r w:rsidRPr="00D266D5">
        <w:rPr>
          <w:bCs/>
          <w:iCs/>
          <w:spacing w:val="-3"/>
        </w:rPr>
        <w:t xml:space="preserve"> x molecular weight</w:t>
      </w:r>
      <w:r w:rsidRPr="00D266D5">
        <w:rPr>
          <w:bCs/>
          <w:iCs/>
          <w:spacing w:val="-3"/>
          <w:vertAlign w:val="subscript"/>
        </w:rPr>
        <w:t>gasoline</w:t>
      </w:r>
      <w:r w:rsidRPr="00D266D5">
        <w:rPr>
          <w:bCs/>
          <w:iCs/>
          <w:spacing w:val="-3"/>
        </w:rPr>
        <w:t xml:space="preserve"> / molecular weight</w:t>
      </w:r>
      <w:r w:rsidRPr="00D266D5">
        <w:rPr>
          <w:bCs/>
          <w:iCs/>
          <w:spacing w:val="-3"/>
          <w:vertAlign w:val="subscript"/>
        </w:rPr>
        <w:t>methane</w:t>
      </w:r>
    </w:p>
    <w:p w:rsidR="00A34FC2" w:rsidRPr="00D266D5" w:rsidRDefault="00A34FC2" w:rsidP="00A34FC2">
      <w:pPr>
        <w:suppressAutoHyphens/>
        <w:ind w:left="1440"/>
        <w:jc w:val="both"/>
        <w:rPr>
          <w:bCs/>
          <w:spacing w:val="-3"/>
        </w:rPr>
      </w:pPr>
      <w:r w:rsidRPr="00D266D5">
        <w:rPr>
          <w:bCs/>
          <w:spacing w:val="-3"/>
        </w:rPr>
        <w:t xml:space="preserve">= [  ] ppmv-gasoline x </w:t>
      </w:r>
      <w:r w:rsidR="002A558C">
        <w:rPr>
          <w:bCs/>
          <w:spacing w:val="-3"/>
        </w:rPr>
        <w:t>100</w:t>
      </w:r>
      <w:r w:rsidRPr="00D266D5">
        <w:rPr>
          <w:bCs/>
          <w:spacing w:val="-3"/>
        </w:rPr>
        <w:t xml:space="preserve"> lb-gasoline/lb-mole / 16.043 lb-methane/lb-mole</w:t>
      </w:r>
    </w:p>
    <w:p w:rsidR="00A34FC2" w:rsidRPr="00D266D5" w:rsidRDefault="00A34FC2" w:rsidP="00A34FC2">
      <w:pPr>
        <w:suppressAutoHyphens/>
        <w:ind w:left="1440"/>
        <w:jc w:val="both"/>
        <w:rPr>
          <w:bCs/>
          <w:spacing w:val="-3"/>
        </w:rPr>
      </w:pPr>
      <w:r w:rsidRPr="00D266D5">
        <w:rPr>
          <w:bCs/>
          <w:spacing w:val="-3"/>
        </w:rPr>
        <w:t>= [  ] ppmv as methane</w:t>
      </w:r>
    </w:p>
    <w:p w:rsidR="00A34FC2" w:rsidRDefault="00A34FC2" w:rsidP="00A34FC2">
      <w:pPr>
        <w:suppressAutoHyphens/>
        <w:ind w:left="1440"/>
        <w:jc w:val="both"/>
        <w:rPr>
          <w:b/>
          <w:bCs/>
          <w:spacing w:val="-3"/>
        </w:rPr>
      </w:pPr>
    </w:p>
    <w:p w:rsidR="00A34FC2" w:rsidRPr="00D266D5" w:rsidRDefault="00A34FC2" w:rsidP="00A34FC2">
      <w:pPr>
        <w:suppressAutoHyphens/>
        <w:ind w:left="1440"/>
        <w:jc w:val="both"/>
        <w:rPr>
          <w:bCs/>
          <w:spacing w:val="-3"/>
        </w:rPr>
      </w:pPr>
      <w:r w:rsidRPr="00D266D5">
        <w:rPr>
          <w:bCs/>
          <w:spacing w:val="-3"/>
        </w:rPr>
        <w:t>Maximum effluent VOC concentration</w:t>
      </w:r>
      <w:r w:rsidRPr="00D266D5">
        <w:rPr>
          <w:bCs/>
          <w:iCs/>
          <w:spacing w:val="-3"/>
          <w:vertAlign w:val="subscript"/>
        </w:rPr>
        <w:t>methane</w:t>
      </w:r>
    </w:p>
    <w:p w:rsidR="00A34FC2" w:rsidRPr="00D266D5" w:rsidRDefault="00A34FC2" w:rsidP="00A34FC2">
      <w:pPr>
        <w:suppressAutoHyphens/>
        <w:ind w:left="1440"/>
        <w:jc w:val="both"/>
        <w:rPr>
          <w:bCs/>
          <w:spacing w:val="-3"/>
        </w:rPr>
      </w:pPr>
      <w:r w:rsidRPr="00D266D5">
        <w:rPr>
          <w:bCs/>
          <w:spacing w:val="-3"/>
        </w:rPr>
        <w:t>= influent concentration</w:t>
      </w:r>
      <w:r w:rsidRPr="00D266D5">
        <w:rPr>
          <w:bCs/>
          <w:iCs/>
          <w:spacing w:val="-3"/>
          <w:vertAlign w:val="subscript"/>
        </w:rPr>
        <w:t>methane</w:t>
      </w:r>
      <w:r w:rsidRPr="00D266D5">
        <w:rPr>
          <w:bCs/>
          <w:spacing w:val="-3"/>
        </w:rPr>
        <w:t xml:space="preserve"> x (1 – control efficiency)</w:t>
      </w:r>
    </w:p>
    <w:p w:rsidR="00A34FC2" w:rsidRPr="00D266D5" w:rsidRDefault="00A34FC2" w:rsidP="00A34FC2">
      <w:pPr>
        <w:suppressAutoHyphens/>
        <w:ind w:left="1440"/>
        <w:jc w:val="both"/>
        <w:rPr>
          <w:bCs/>
          <w:spacing w:val="-3"/>
        </w:rPr>
      </w:pPr>
      <w:r w:rsidRPr="00D266D5">
        <w:rPr>
          <w:bCs/>
          <w:spacing w:val="-3"/>
        </w:rPr>
        <w:t>= [  ] ppmv</w:t>
      </w:r>
      <w:r w:rsidRPr="00D266D5">
        <w:rPr>
          <w:bCs/>
          <w:i/>
          <w:spacing w:val="-3"/>
        </w:rPr>
        <w:t xml:space="preserve"> </w:t>
      </w:r>
      <w:r w:rsidRPr="00D266D5">
        <w:rPr>
          <w:bCs/>
          <w:iCs/>
          <w:spacing w:val="-3"/>
        </w:rPr>
        <w:t>as methane</w:t>
      </w:r>
      <w:r w:rsidRPr="00D266D5">
        <w:rPr>
          <w:bCs/>
          <w:i/>
          <w:spacing w:val="-3"/>
        </w:rPr>
        <w:t xml:space="preserve"> </w:t>
      </w:r>
      <w:r w:rsidRPr="00D266D5">
        <w:rPr>
          <w:bCs/>
          <w:spacing w:val="-3"/>
        </w:rPr>
        <w:t>x (1 – 0.95)</w:t>
      </w:r>
    </w:p>
    <w:p w:rsidR="00A34FC2" w:rsidRPr="00D266D5" w:rsidRDefault="00A34FC2" w:rsidP="00A34FC2">
      <w:pPr>
        <w:suppressAutoHyphens/>
        <w:ind w:left="1440"/>
        <w:jc w:val="both"/>
        <w:rPr>
          <w:bCs/>
          <w:spacing w:val="-3"/>
        </w:rPr>
      </w:pPr>
      <w:r w:rsidRPr="00D266D5">
        <w:rPr>
          <w:bCs/>
          <w:spacing w:val="-3"/>
        </w:rPr>
        <w:t>= [  ] ppmv as methane</w:t>
      </w:r>
    </w:p>
    <w:p w:rsidR="00A34FC2" w:rsidRDefault="00A34FC2" w:rsidP="00A34FC2">
      <w:pPr>
        <w:suppressAutoHyphens/>
        <w:ind w:left="1440"/>
        <w:jc w:val="both"/>
        <w:rPr>
          <w:b/>
          <w:bCs/>
          <w:spacing w:val="-3"/>
        </w:rPr>
      </w:pPr>
    </w:p>
    <w:p w:rsidR="00DB5DB6" w:rsidRDefault="00DB5DB6">
      <w:pPr>
        <w:tabs>
          <w:tab w:val="left" w:pos="2520"/>
        </w:tabs>
        <w:suppressAutoHyphens/>
        <w:ind w:left="2880" w:hanging="2070"/>
      </w:pPr>
      <w:r>
        <w:t>PE</w:t>
      </w:r>
      <w:r w:rsidR="00F82A0B">
        <w:t xml:space="preserve"> VOC</w:t>
      </w:r>
      <w:r>
        <w:rPr>
          <w:vertAlign w:val="subscript"/>
        </w:rPr>
        <w:t>controlled</w:t>
      </w:r>
      <w:r>
        <w:rPr>
          <w:vertAlign w:val="subscript"/>
        </w:rPr>
        <w:tab/>
      </w:r>
      <w:r>
        <w:rPr>
          <w:bCs/>
          <w:spacing w:val="-3"/>
        </w:rPr>
        <w:t xml:space="preserve"> </w:t>
      </w:r>
      <w:r>
        <w:t xml:space="preserve">= </w:t>
      </w:r>
      <w:r>
        <w:tab/>
      </w:r>
      <w:r w:rsidR="008F57D9">
        <w:t>Influent c</w:t>
      </w:r>
      <w:r>
        <w:t xml:space="preserve">oncentration </w:t>
      </w:r>
      <w:r w:rsidR="008F57D9">
        <w:t xml:space="preserve">as methane </w:t>
      </w:r>
      <w:r>
        <w:t xml:space="preserve">(ppmv) </w:t>
      </w:r>
      <w:r>
        <w:sym w:font="Symbol" w:char="F0B4"/>
      </w:r>
      <w:r>
        <w:t xml:space="preserve"> Influent Flow Rate (ft</w:t>
      </w:r>
      <w:r>
        <w:rPr>
          <w:vertAlign w:val="superscript"/>
        </w:rPr>
        <w:t>3</w:t>
      </w:r>
      <w:r>
        <w:t xml:space="preserve">/min) </w:t>
      </w:r>
      <w:r>
        <w:sym w:font="Symbol" w:char="F0B4"/>
      </w:r>
      <w:r>
        <w:t xml:space="preserve"> 1 lb-mole/379.5 ft</w:t>
      </w:r>
      <w:r>
        <w:rPr>
          <w:vertAlign w:val="superscript"/>
        </w:rPr>
        <w:t>3</w:t>
      </w:r>
      <w:r>
        <w:t xml:space="preserve"> </w:t>
      </w:r>
      <w:r>
        <w:sym w:font="Symbol" w:char="F0B4"/>
      </w:r>
      <w:r>
        <w:t xml:space="preserve"> Mol. Wt. (lb/lb-mole) </w:t>
      </w:r>
      <w:r>
        <w:sym w:font="Symbol" w:char="F0B4"/>
      </w:r>
      <w:r>
        <w:t xml:space="preserve"> 1440 min/day</w:t>
      </w:r>
      <w:r w:rsidR="00F82A0B">
        <w:t xml:space="preserve"> x (1 - control efficiency)</w:t>
      </w:r>
    </w:p>
    <w:p w:rsidR="00DB5DB6" w:rsidRDefault="00DB5DB6">
      <w:pPr>
        <w:tabs>
          <w:tab w:val="left" w:pos="2520"/>
        </w:tabs>
        <w:suppressAutoHyphens/>
        <w:ind w:left="2880" w:hanging="2070"/>
      </w:pPr>
    </w:p>
    <w:p w:rsidR="00DB5DB6" w:rsidRDefault="00DB5DB6">
      <w:pPr>
        <w:pStyle w:val="BodyTextIndent"/>
        <w:tabs>
          <w:tab w:val="left" w:pos="2610"/>
        </w:tabs>
        <w:ind w:left="2160"/>
        <w:jc w:val="left"/>
      </w:pPr>
      <w:r>
        <w:tab/>
        <w:t xml:space="preserve">= </w:t>
      </w:r>
      <w:r>
        <w:tab/>
        <w:t xml:space="preserve">([  ] </w:t>
      </w:r>
      <w:r>
        <w:sym w:font="Symbol" w:char="F0B4"/>
      </w:r>
      <w:r>
        <w:t xml:space="preserve"> 10</w:t>
      </w:r>
      <w:r>
        <w:rPr>
          <w:vertAlign w:val="superscript"/>
        </w:rPr>
        <w:t>-6</w:t>
      </w:r>
      <w:r>
        <w:t xml:space="preserve">) </w:t>
      </w:r>
      <w:r>
        <w:sym w:font="Symbol" w:char="F0B4"/>
      </w:r>
      <w:r>
        <w:t xml:space="preserve"> ([  ] ft</w:t>
      </w:r>
      <w:r>
        <w:rPr>
          <w:vertAlign w:val="superscript"/>
        </w:rPr>
        <w:t>3</w:t>
      </w:r>
      <w:r>
        <w:t xml:space="preserve">/min) </w:t>
      </w:r>
      <w:r>
        <w:sym w:font="Symbol" w:char="F0B4"/>
      </w:r>
      <w:r>
        <w:t xml:space="preserve"> (1 lb-mole/379.5 ft</w:t>
      </w:r>
      <w:r>
        <w:rPr>
          <w:vertAlign w:val="superscript"/>
        </w:rPr>
        <w:t>3</w:t>
      </w:r>
      <w:r>
        <w:t xml:space="preserve">) </w:t>
      </w:r>
      <w:r>
        <w:sym w:font="Symbol" w:char="F0B4"/>
      </w:r>
      <w:r>
        <w:t xml:space="preserve"> (16.043 lb/lb-mole) </w:t>
      </w:r>
    </w:p>
    <w:p w:rsidR="00DB5DB6" w:rsidRDefault="00DB5DB6">
      <w:pPr>
        <w:pStyle w:val="BodyTextIndent"/>
        <w:tabs>
          <w:tab w:val="left" w:pos="2610"/>
        </w:tabs>
        <w:ind w:left="2160"/>
        <w:jc w:val="left"/>
      </w:pPr>
      <w:r>
        <w:tab/>
      </w:r>
      <w:r>
        <w:tab/>
      </w:r>
      <w:r>
        <w:sym w:font="Symbol" w:char="F0B4"/>
      </w:r>
      <w:r>
        <w:t xml:space="preserve"> 1440 min/day</w:t>
      </w:r>
    </w:p>
    <w:p w:rsidR="00DB5DB6" w:rsidRDefault="00DB5DB6">
      <w:pPr>
        <w:pStyle w:val="BodyTextIndent"/>
        <w:tabs>
          <w:tab w:val="left" w:pos="2610"/>
        </w:tabs>
        <w:ind w:left="2160"/>
        <w:jc w:val="left"/>
      </w:pPr>
    </w:p>
    <w:p w:rsidR="00DB5DB6" w:rsidRDefault="00DB5DB6">
      <w:pPr>
        <w:pStyle w:val="BodyTextIndent"/>
        <w:tabs>
          <w:tab w:val="left" w:pos="2610"/>
        </w:tabs>
        <w:jc w:val="left"/>
      </w:pPr>
      <w:r>
        <w:tab/>
        <w:t xml:space="preserve">= </w:t>
      </w:r>
      <w:r>
        <w:tab/>
        <w:t>[  ] lb-VOC/day</w:t>
      </w:r>
    </w:p>
    <w:p w:rsidR="00DB5DB6" w:rsidRDefault="00DB5DB6">
      <w:pPr>
        <w:suppressAutoHyphens/>
        <w:ind w:left="720"/>
        <w:rPr>
          <w:bCs/>
          <w:i/>
          <w:iCs/>
          <w:color w:val="FF0000"/>
          <w:spacing w:val="-3"/>
        </w:rPr>
      </w:pPr>
    </w:p>
    <w:p w:rsidR="00DB5DB6" w:rsidRDefault="00DB5DB6">
      <w:pPr>
        <w:suppressAutoHyphens/>
        <w:ind w:left="720"/>
        <w:rPr>
          <w:bCs/>
          <w:i/>
          <w:iCs/>
          <w:color w:val="FF0000"/>
          <w:spacing w:val="-3"/>
        </w:rPr>
      </w:pPr>
      <w:r>
        <w:rPr>
          <w:bCs/>
          <w:i/>
          <w:iCs/>
          <w:color w:val="FF0000"/>
          <w:spacing w:val="-3"/>
        </w:rPr>
        <w:t xml:space="preserve"> (If the daily controlled PE above is below 2 pounds per day, add the following section)</w:t>
      </w:r>
    </w:p>
    <w:p w:rsidR="00DB5DB6" w:rsidRDefault="00DB5DB6">
      <w:pPr>
        <w:suppressAutoHyphens/>
        <w:ind w:left="1440"/>
        <w:rPr>
          <w:b/>
          <w:spacing w:val="-3"/>
        </w:rPr>
      </w:pPr>
    </w:p>
    <w:p w:rsidR="00DB5DB6" w:rsidRDefault="00DB5DB6">
      <w:pPr>
        <w:suppressAutoHyphens/>
        <w:ind w:left="720"/>
        <w:rPr>
          <w:bCs/>
          <w:spacing w:val="-3"/>
        </w:rPr>
      </w:pPr>
      <w:r>
        <w:rPr>
          <w:rFonts w:cs="Arial"/>
          <w:color w:val="000000"/>
        </w:rPr>
        <w:t>Once effluent VOC emissions drop below 2 pounds per day, the emissions unit is no longer subject to BACT and may operate at a lower control efficiency or without any controls at all.  However, since the VOC emissions calculated above are below 2.0 lb-VOC/day, the calculated VOC emission will be adjusted to 2.0 lb-VOC/day in order to show no increase in emissions from this operation once the control device is reduced or taken off-line.  The effluent concentration will be recalculated as follows:</w:t>
      </w:r>
    </w:p>
    <w:p w:rsidR="00DB5DB6" w:rsidRDefault="00DB5DB6">
      <w:pPr>
        <w:suppressAutoHyphens/>
        <w:ind w:left="1440"/>
        <w:rPr>
          <w:bCs/>
          <w:spacing w:val="-3"/>
        </w:rPr>
      </w:pPr>
    </w:p>
    <w:p w:rsidR="00DB5DB6" w:rsidRDefault="00DB5DB6">
      <w:pPr>
        <w:suppressAutoHyphens/>
        <w:ind w:left="3600" w:hanging="2880"/>
        <w:rPr>
          <w:spacing w:val="-3"/>
        </w:rPr>
      </w:pPr>
      <w:r>
        <w:rPr>
          <w:bCs/>
          <w:spacing w:val="-3"/>
        </w:rPr>
        <w:t xml:space="preserve">Concentration (ppmv) = </w:t>
      </w:r>
      <w:r>
        <w:rPr>
          <w:bCs/>
          <w:spacing w:val="-3"/>
        </w:rPr>
        <w:tab/>
        <w:t xml:space="preserve">(2.0 lbs/day) </w:t>
      </w:r>
      <w:r>
        <w:rPr>
          <w:bCs/>
          <w:spacing w:val="-3"/>
        </w:rPr>
        <w:sym w:font="Symbol" w:char="F0B8"/>
      </w:r>
      <w:r>
        <w:rPr>
          <w:bCs/>
          <w:spacing w:val="-3"/>
        </w:rPr>
        <w:t xml:space="preserve"> [</w:t>
      </w:r>
      <w:r>
        <w:rPr>
          <w:spacing w:val="-3"/>
        </w:rPr>
        <w:t>Influent Flow Rate (ft</w:t>
      </w:r>
      <w:r>
        <w:rPr>
          <w:spacing w:val="-3"/>
          <w:vertAlign w:val="superscript"/>
        </w:rPr>
        <w:t>3</w:t>
      </w:r>
      <w:r>
        <w:rPr>
          <w:spacing w:val="-3"/>
        </w:rPr>
        <w:t xml:space="preserve">/min) </w:t>
      </w:r>
      <w:r>
        <w:rPr>
          <w:spacing w:val="-3"/>
        </w:rPr>
        <w:sym w:font="Symbol" w:char="F0B4"/>
      </w:r>
      <w:r>
        <w:rPr>
          <w:spacing w:val="-3"/>
        </w:rPr>
        <w:t xml:space="preserve"> 1 lb-mole/379.5 ft</w:t>
      </w:r>
      <w:r>
        <w:rPr>
          <w:spacing w:val="-3"/>
          <w:vertAlign w:val="superscript"/>
        </w:rPr>
        <w:t>3</w:t>
      </w:r>
      <w:r>
        <w:rPr>
          <w:spacing w:val="-3"/>
        </w:rPr>
        <w:t xml:space="preserve"> </w:t>
      </w:r>
      <w:r>
        <w:rPr>
          <w:spacing w:val="-3"/>
        </w:rPr>
        <w:sym w:font="Symbol" w:char="F0B4"/>
      </w:r>
      <w:r>
        <w:rPr>
          <w:spacing w:val="-3"/>
        </w:rPr>
        <w:t xml:space="preserve"> Mol. Wt. (lb/lb-mole) </w:t>
      </w:r>
      <w:r>
        <w:rPr>
          <w:spacing w:val="-3"/>
        </w:rPr>
        <w:sym w:font="Symbol" w:char="F0B4"/>
      </w:r>
      <w:r>
        <w:rPr>
          <w:spacing w:val="-3"/>
        </w:rPr>
        <w:t xml:space="preserve"> 1440 min/day</w:t>
      </w:r>
      <w:r w:rsidR="003624AC">
        <w:rPr>
          <w:spacing w:val="-3"/>
        </w:rPr>
        <w:t xml:space="preserve"> x 10</w:t>
      </w:r>
      <w:r w:rsidR="003624AC">
        <w:rPr>
          <w:spacing w:val="-3"/>
          <w:vertAlign w:val="superscript"/>
        </w:rPr>
        <w:t>-6</w:t>
      </w:r>
      <w:r>
        <w:rPr>
          <w:spacing w:val="-3"/>
        </w:rPr>
        <w:t>]</w:t>
      </w:r>
    </w:p>
    <w:p w:rsidR="00DB5DB6" w:rsidRDefault="00DB5DB6">
      <w:pPr>
        <w:suppressAutoHyphens/>
        <w:ind w:left="3330" w:hanging="2610"/>
        <w:rPr>
          <w:bCs/>
          <w:spacing w:val="-3"/>
        </w:rPr>
      </w:pPr>
    </w:p>
    <w:p w:rsidR="00DB5DB6" w:rsidRDefault="00DB5DB6">
      <w:pPr>
        <w:suppressAutoHyphens/>
        <w:ind w:left="3600" w:hanging="588"/>
        <w:rPr>
          <w:spacing w:val="-3"/>
        </w:rPr>
      </w:pPr>
      <w:r>
        <w:rPr>
          <w:bCs/>
          <w:spacing w:val="-3"/>
        </w:rPr>
        <w:t>=</w:t>
      </w:r>
      <w:r>
        <w:rPr>
          <w:bCs/>
          <w:spacing w:val="-3"/>
        </w:rPr>
        <w:tab/>
        <w:t xml:space="preserve">(2.0 lbs/day) </w:t>
      </w:r>
      <w:r>
        <w:rPr>
          <w:bCs/>
          <w:spacing w:val="-3"/>
        </w:rPr>
        <w:sym w:font="Symbol" w:char="F0B8"/>
      </w:r>
      <w:r>
        <w:rPr>
          <w:bCs/>
          <w:spacing w:val="-3"/>
        </w:rPr>
        <w:t xml:space="preserve"> [</w:t>
      </w:r>
      <w:r>
        <w:rPr>
          <w:spacing w:val="-3"/>
        </w:rPr>
        <w:t>(</w:t>
      </w:r>
      <w:r>
        <w:rPr>
          <w:color w:val="0000FF"/>
          <w:spacing w:val="-3"/>
        </w:rPr>
        <w:t>[  ]</w:t>
      </w:r>
      <w:r>
        <w:rPr>
          <w:spacing w:val="-3"/>
        </w:rPr>
        <w:t xml:space="preserve"> ft</w:t>
      </w:r>
      <w:r>
        <w:rPr>
          <w:spacing w:val="-3"/>
          <w:vertAlign w:val="superscript"/>
        </w:rPr>
        <w:t>3</w:t>
      </w:r>
      <w:r>
        <w:rPr>
          <w:spacing w:val="-3"/>
        </w:rPr>
        <w:t xml:space="preserve">/min) </w:t>
      </w:r>
      <w:r>
        <w:rPr>
          <w:spacing w:val="-3"/>
        </w:rPr>
        <w:sym w:font="Symbol" w:char="F0B4"/>
      </w:r>
      <w:r>
        <w:rPr>
          <w:spacing w:val="-3"/>
        </w:rPr>
        <w:t xml:space="preserve"> (1 lb-mole/379.5 ft</w:t>
      </w:r>
      <w:r>
        <w:rPr>
          <w:spacing w:val="-3"/>
          <w:vertAlign w:val="superscript"/>
        </w:rPr>
        <w:t>3</w:t>
      </w:r>
      <w:r>
        <w:rPr>
          <w:spacing w:val="-3"/>
        </w:rPr>
        <w:t xml:space="preserve">) </w:t>
      </w:r>
      <w:r>
        <w:rPr>
          <w:spacing w:val="-3"/>
        </w:rPr>
        <w:sym w:font="Symbol" w:char="F0B4"/>
      </w:r>
      <w:r>
        <w:rPr>
          <w:spacing w:val="-3"/>
        </w:rPr>
        <w:t xml:space="preserve"> (</w:t>
      </w:r>
      <w:r>
        <w:rPr>
          <w:color w:val="0000FF"/>
          <w:spacing w:val="-3"/>
        </w:rPr>
        <w:t>[  ]</w:t>
      </w:r>
      <w:r>
        <w:rPr>
          <w:spacing w:val="-3"/>
        </w:rPr>
        <w:t xml:space="preserve"> lb/lb-mole) </w:t>
      </w:r>
      <w:r>
        <w:rPr>
          <w:spacing w:val="-3"/>
        </w:rPr>
        <w:sym w:font="Symbol" w:char="F0B4"/>
      </w:r>
      <w:r>
        <w:rPr>
          <w:spacing w:val="-3"/>
        </w:rPr>
        <w:t xml:space="preserve"> 1440 min/day </w:t>
      </w:r>
      <w:r>
        <w:rPr>
          <w:spacing w:val="-3"/>
        </w:rPr>
        <w:sym w:font="Symbol" w:char="F0B4"/>
      </w:r>
      <w:r>
        <w:rPr>
          <w:spacing w:val="-3"/>
        </w:rPr>
        <w:t xml:space="preserve"> 10</w:t>
      </w:r>
      <w:r>
        <w:rPr>
          <w:spacing w:val="-3"/>
          <w:vertAlign w:val="superscript"/>
        </w:rPr>
        <w:t>-6</w:t>
      </w:r>
      <w:r>
        <w:rPr>
          <w:spacing w:val="-3"/>
        </w:rPr>
        <w:t>]</w:t>
      </w:r>
    </w:p>
    <w:p w:rsidR="00DB5DB6" w:rsidRDefault="00DB5DB6">
      <w:pPr>
        <w:suppressAutoHyphens/>
        <w:ind w:left="3600" w:hanging="588"/>
        <w:rPr>
          <w:spacing w:val="-3"/>
        </w:rPr>
      </w:pPr>
    </w:p>
    <w:p w:rsidR="00DB5DB6" w:rsidRDefault="00DB5DB6">
      <w:pPr>
        <w:suppressAutoHyphens/>
        <w:ind w:left="2610" w:firstLine="270"/>
        <w:rPr>
          <w:spacing w:val="-3"/>
        </w:rPr>
      </w:pPr>
      <w:r>
        <w:rPr>
          <w:spacing w:val="-3"/>
        </w:rPr>
        <w:t xml:space="preserve">= </w:t>
      </w:r>
      <w:r>
        <w:rPr>
          <w:spacing w:val="-3"/>
        </w:rPr>
        <w:tab/>
      </w:r>
      <w:r>
        <w:rPr>
          <w:color w:val="0000FF"/>
          <w:spacing w:val="-3"/>
        </w:rPr>
        <w:t>[  ]</w:t>
      </w:r>
      <w:r>
        <w:rPr>
          <w:spacing w:val="-3"/>
        </w:rPr>
        <w:t xml:space="preserve"> ppmv</w:t>
      </w:r>
    </w:p>
    <w:p w:rsidR="00F82A0B" w:rsidRDefault="00F82A0B">
      <w:pPr>
        <w:suppressAutoHyphens/>
        <w:ind w:left="2610" w:firstLine="270"/>
        <w:rPr>
          <w:spacing w:val="-3"/>
        </w:rPr>
      </w:pPr>
    </w:p>
    <w:p w:rsidR="00F82A0B" w:rsidRDefault="00F82A0B" w:rsidP="00F82A0B">
      <w:pPr>
        <w:pStyle w:val="Heading9"/>
        <w:ind w:left="0"/>
      </w:pPr>
      <w:r>
        <w:t>Verification of Carbon Breakthrough:</w:t>
      </w:r>
    </w:p>
    <w:p w:rsidR="00F82A0B" w:rsidRDefault="00F82A0B" w:rsidP="00F82A0B"/>
    <w:p w:rsidR="00F82A0B" w:rsidRDefault="00F82A0B" w:rsidP="00F82A0B">
      <w:r>
        <w:t xml:space="preserve">Per District policy of carbon breakthrough in a carbon adsorption remediation project, the </w:t>
      </w:r>
      <w:r>
        <w:rPr>
          <w:color w:val="0000FF"/>
        </w:rPr>
        <w:t>first or first set of canisters</w:t>
      </w:r>
      <w:r>
        <w:t xml:space="preserve"> must be capable of operating at least 168 consecutive hours (or seven days) at the maximum influent concentration before breakthrough.  The last canister is only for backup upon breakthrough of the first set of canisters.</w:t>
      </w:r>
      <w:r>
        <w:rPr>
          <w:i/>
          <w:iCs/>
          <w:color w:val="FF6600"/>
        </w:rPr>
        <w:t xml:space="preserve"> </w:t>
      </w:r>
      <w:r>
        <w:t>Therefore, the breakthrough period for the first set is required to be no less than seven days, calculated as follows:</w:t>
      </w:r>
      <w:r>
        <w:rPr>
          <w:rFonts w:ascii="Univers" w:hAnsi="Univers"/>
        </w:rPr>
        <w:t xml:space="preserve">  </w:t>
      </w:r>
    </w:p>
    <w:p w:rsidR="00F82A0B" w:rsidRDefault="00F82A0B" w:rsidP="00F82A0B"/>
    <w:tbl>
      <w:tblPr>
        <w:tblW w:w="8460" w:type="dxa"/>
        <w:tblInd w:w="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70"/>
        <w:gridCol w:w="4590"/>
      </w:tblGrid>
      <w:tr w:rsidR="00F82A0B" w:rsidTr="00113C80">
        <w:tc>
          <w:tcPr>
            <w:tcW w:w="3870" w:type="dxa"/>
          </w:tcPr>
          <w:p w:rsidR="00F82A0B" w:rsidRDefault="00F82A0B" w:rsidP="00113C80">
            <w:pPr>
              <w:suppressAutoHyphens/>
              <w:jc w:val="right"/>
              <w:rPr>
                <w:spacing w:val="-3"/>
              </w:rPr>
            </w:pPr>
            <w:r>
              <w:rPr>
                <w:spacing w:val="-3"/>
              </w:rPr>
              <w:t>Max influent Contaminant rate =</w:t>
            </w:r>
          </w:p>
        </w:tc>
        <w:tc>
          <w:tcPr>
            <w:tcW w:w="4590" w:type="dxa"/>
          </w:tcPr>
          <w:p w:rsidR="00F82A0B" w:rsidRDefault="00F82A0B" w:rsidP="00113C80">
            <w:pPr>
              <w:suppressAutoHyphens/>
              <w:ind w:left="-18" w:firstLine="18"/>
              <w:rPr>
                <w:spacing w:val="-3"/>
              </w:rPr>
            </w:pPr>
            <w:r>
              <w:rPr>
                <w:color w:val="0000FF"/>
                <w:spacing w:val="-3"/>
              </w:rPr>
              <w:t>[ X ]</w:t>
            </w:r>
            <w:r>
              <w:rPr>
                <w:spacing w:val="-3"/>
              </w:rPr>
              <w:t xml:space="preserve"> lb/day</w:t>
            </w:r>
          </w:p>
        </w:tc>
      </w:tr>
      <w:tr w:rsidR="00F82A0B" w:rsidTr="00113C80">
        <w:tc>
          <w:tcPr>
            <w:tcW w:w="3870" w:type="dxa"/>
          </w:tcPr>
          <w:p w:rsidR="00F82A0B" w:rsidRDefault="00F82A0B" w:rsidP="00113C80">
            <w:pPr>
              <w:suppressAutoHyphens/>
              <w:jc w:val="right"/>
              <w:rPr>
                <w:spacing w:val="-3"/>
              </w:rPr>
            </w:pPr>
            <w:r>
              <w:rPr>
                <w:spacing w:val="-3"/>
              </w:rPr>
              <w:t>Max effluent Contaminant rate  =</w:t>
            </w:r>
          </w:p>
        </w:tc>
        <w:tc>
          <w:tcPr>
            <w:tcW w:w="4590" w:type="dxa"/>
          </w:tcPr>
          <w:p w:rsidR="00F82A0B" w:rsidRDefault="00F82A0B" w:rsidP="00113C80">
            <w:pPr>
              <w:suppressAutoHyphens/>
              <w:rPr>
                <w:spacing w:val="-3"/>
              </w:rPr>
            </w:pPr>
            <w:r>
              <w:rPr>
                <w:color w:val="0000FF"/>
                <w:spacing w:val="-3"/>
              </w:rPr>
              <w:t xml:space="preserve">[ Y ] </w:t>
            </w:r>
            <w:r>
              <w:rPr>
                <w:spacing w:val="-3"/>
              </w:rPr>
              <w:t xml:space="preserve">lb/day  </w:t>
            </w:r>
            <w:r>
              <w:rPr>
                <w:spacing w:val="-2"/>
              </w:rPr>
              <w:t xml:space="preserve">(based on a </w:t>
            </w:r>
            <w:r>
              <w:rPr>
                <w:color w:val="0000FF"/>
                <w:spacing w:val="-2"/>
              </w:rPr>
              <w:t>[95]</w:t>
            </w:r>
            <w:r>
              <w:rPr>
                <w:spacing w:val="-2"/>
              </w:rPr>
              <w:t>% control)</w:t>
            </w:r>
          </w:p>
        </w:tc>
      </w:tr>
      <w:tr w:rsidR="00F82A0B" w:rsidTr="00113C80">
        <w:tc>
          <w:tcPr>
            <w:tcW w:w="3870" w:type="dxa"/>
          </w:tcPr>
          <w:p w:rsidR="00F82A0B" w:rsidRDefault="00F82A0B" w:rsidP="00113C80">
            <w:pPr>
              <w:suppressAutoHyphens/>
              <w:jc w:val="right"/>
              <w:rPr>
                <w:spacing w:val="-3"/>
              </w:rPr>
            </w:pPr>
            <w:r>
              <w:rPr>
                <w:spacing w:val="-3"/>
              </w:rPr>
              <w:t>VOC adsorbed =</w:t>
            </w:r>
          </w:p>
        </w:tc>
        <w:tc>
          <w:tcPr>
            <w:tcW w:w="4590" w:type="dxa"/>
          </w:tcPr>
          <w:p w:rsidR="00F82A0B" w:rsidRDefault="00F82A0B" w:rsidP="00113C80">
            <w:pPr>
              <w:suppressAutoHyphens/>
              <w:rPr>
                <w:spacing w:val="-3"/>
              </w:rPr>
            </w:pPr>
            <w:r>
              <w:rPr>
                <w:spacing w:val="-3"/>
              </w:rPr>
              <w:t>Max Influent VOC – Max Effluent VOC</w:t>
            </w:r>
          </w:p>
        </w:tc>
      </w:tr>
      <w:tr w:rsidR="00F82A0B" w:rsidTr="00113C80">
        <w:tc>
          <w:tcPr>
            <w:tcW w:w="3870" w:type="dxa"/>
          </w:tcPr>
          <w:p w:rsidR="00F82A0B" w:rsidRDefault="00F82A0B" w:rsidP="00113C80">
            <w:pPr>
              <w:suppressAutoHyphens/>
              <w:jc w:val="right"/>
              <w:rPr>
                <w:spacing w:val="-3"/>
              </w:rPr>
            </w:pPr>
          </w:p>
        </w:tc>
        <w:tc>
          <w:tcPr>
            <w:tcW w:w="4590" w:type="dxa"/>
          </w:tcPr>
          <w:p w:rsidR="00F82A0B" w:rsidRDefault="00F82A0B" w:rsidP="00113C80">
            <w:pPr>
              <w:suppressAutoHyphens/>
              <w:rPr>
                <w:spacing w:val="-3"/>
              </w:rPr>
            </w:pPr>
            <w:r>
              <w:rPr>
                <w:color w:val="0000FF"/>
                <w:spacing w:val="-3"/>
              </w:rPr>
              <w:t>[ X ] – [Y]</w:t>
            </w:r>
            <w:r>
              <w:rPr>
                <w:spacing w:val="-3"/>
              </w:rPr>
              <w:t xml:space="preserve"> lb/day</w:t>
            </w:r>
            <w:r>
              <w:rPr>
                <w:spacing w:val="-3"/>
              </w:rPr>
              <w:tab/>
            </w:r>
          </w:p>
        </w:tc>
      </w:tr>
      <w:tr w:rsidR="00F82A0B" w:rsidTr="00113C80">
        <w:tc>
          <w:tcPr>
            <w:tcW w:w="3870" w:type="dxa"/>
          </w:tcPr>
          <w:p w:rsidR="00F82A0B" w:rsidRDefault="00F82A0B" w:rsidP="00113C80">
            <w:pPr>
              <w:suppressAutoHyphens/>
              <w:jc w:val="right"/>
              <w:rPr>
                <w:spacing w:val="-3"/>
              </w:rPr>
            </w:pPr>
            <w:r>
              <w:rPr>
                <w:spacing w:val="-3"/>
              </w:rPr>
              <w:t>=</w:t>
            </w:r>
          </w:p>
        </w:tc>
        <w:tc>
          <w:tcPr>
            <w:tcW w:w="4590" w:type="dxa"/>
          </w:tcPr>
          <w:p w:rsidR="00F82A0B" w:rsidRDefault="00F82A0B" w:rsidP="00113C80">
            <w:pPr>
              <w:suppressAutoHyphens/>
              <w:rPr>
                <w:spacing w:val="-3"/>
              </w:rPr>
            </w:pPr>
            <w:r>
              <w:rPr>
                <w:color w:val="0000FF"/>
                <w:spacing w:val="-3"/>
              </w:rPr>
              <w:t>[ Z ]</w:t>
            </w:r>
            <w:r>
              <w:rPr>
                <w:spacing w:val="-3"/>
              </w:rPr>
              <w:t xml:space="preserve"> lb/day</w:t>
            </w:r>
          </w:p>
        </w:tc>
      </w:tr>
      <w:tr w:rsidR="00F82A0B" w:rsidTr="00113C80">
        <w:tc>
          <w:tcPr>
            <w:tcW w:w="3870" w:type="dxa"/>
          </w:tcPr>
          <w:p w:rsidR="00F82A0B" w:rsidRDefault="00F82A0B" w:rsidP="00113C80">
            <w:pPr>
              <w:suppressAutoHyphens/>
              <w:jc w:val="right"/>
              <w:rPr>
                <w:spacing w:val="-3"/>
              </w:rPr>
            </w:pPr>
            <w:r>
              <w:rPr>
                <w:spacing w:val="-3"/>
              </w:rPr>
              <w:t># of canisters proposed =</w:t>
            </w:r>
          </w:p>
        </w:tc>
        <w:tc>
          <w:tcPr>
            <w:tcW w:w="4590" w:type="dxa"/>
          </w:tcPr>
          <w:p w:rsidR="00F82A0B" w:rsidRDefault="00F82A0B" w:rsidP="00113C80">
            <w:pPr>
              <w:suppressAutoHyphens/>
              <w:rPr>
                <w:color w:val="0000FF"/>
                <w:spacing w:val="-3"/>
              </w:rPr>
            </w:pPr>
            <w:r>
              <w:rPr>
                <w:color w:val="0000FF"/>
                <w:spacing w:val="-3"/>
              </w:rPr>
              <w:t>[ # ]</w:t>
            </w:r>
          </w:p>
        </w:tc>
      </w:tr>
      <w:tr w:rsidR="00F82A0B" w:rsidTr="00113C80">
        <w:tc>
          <w:tcPr>
            <w:tcW w:w="3870" w:type="dxa"/>
          </w:tcPr>
          <w:p w:rsidR="00F82A0B" w:rsidRDefault="00F82A0B" w:rsidP="00113C80">
            <w:pPr>
              <w:suppressAutoHyphens/>
              <w:jc w:val="right"/>
              <w:rPr>
                <w:spacing w:val="-3"/>
              </w:rPr>
            </w:pPr>
            <w:r>
              <w:rPr>
                <w:spacing w:val="-3"/>
              </w:rPr>
              <w:t>Mass of carbon/canister =</w:t>
            </w:r>
          </w:p>
        </w:tc>
        <w:tc>
          <w:tcPr>
            <w:tcW w:w="4590" w:type="dxa"/>
          </w:tcPr>
          <w:p w:rsidR="00F82A0B" w:rsidRDefault="00F82A0B" w:rsidP="00113C80">
            <w:pPr>
              <w:suppressAutoHyphens/>
              <w:rPr>
                <w:spacing w:val="-3"/>
              </w:rPr>
            </w:pPr>
            <w:r>
              <w:rPr>
                <w:color w:val="0000FF"/>
                <w:spacing w:val="-3"/>
              </w:rPr>
              <w:t xml:space="preserve">[ M ] </w:t>
            </w:r>
            <w:r>
              <w:rPr>
                <w:spacing w:val="-3"/>
              </w:rPr>
              <w:t xml:space="preserve">lbs </w:t>
            </w:r>
            <w:r>
              <w:rPr>
                <w:spacing w:val="-2"/>
              </w:rPr>
              <w:t>(proposed by the applicant)</w:t>
            </w:r>
          </w:p>
        </w:tc>
      </w:tr>
      <w:tr w:rsidR="00F82A0B" w:rsidTr="00113C80">
        <w:tc>
          <w:tcPr>
            <w:tcW w:w="3870" w:type="dxa"/>
          </w:tcPr>
          <w:p w:rsidR="00F82A0B" w:rsidRDefault="00F82A0B" w:rsidP="00113C80">
            <w:pPr>
              <w:autoSpaceDE w:val="0"/>
              <w:autoSpaceDN w:val="0"/>
              <w:adjustRightInd w:val="0"/>
              <w:jc w:val="right"/>
              <w:rPr>
                <w:rFonts w:cs="Arial"/>
                <w:spacing w:val="-3"/>
                <w:szCs w:val="24"/>
              </w:rPr>
            </w:pPr>
            <w:r>
              <w:rPr>
                <w:rFonts w:cs="Arial"/>
                <w:spacing w:val="-3"/>
                <w:szCs w:val="24"/>
              </w:rPr>
              <w:t>Mass of Breakthrough Carbon*</w:t>
            </w:r>
            <w:r>
              <w:rPr>
                <w:rFonts w:cs="Arial"/>
                <w:i/>
                <w:iCs/>
                <w:spacing w:val="-3"/>
                <w:szCs w:val="24"/>
              </w:rPr>
              <w:t xml:space="preserve"> =</w:t>
            </w:r>
          </w:p>
        </w:tc>
        <w:tc>
          <w:tcPr>
            <w:tcW w:w="4590" w:type="dxa"/>
          </w:tcPr>
          <w:p w:rsidR="00F82A0B" w:rsidRDefault="00F82A0B" w:rsidP="00113C80">
            <w:pPr>
              <w:autoSpaceDE w:val="0"/>
              <w:autoSpaceDN w:val="0"/>
              <w:adjustRightInd w:val="0"/>
              <w:rPr>
                <w:rFonts w:cs="Arial"/>
                <w:color w:val="0000FF"/>
                <w:spacing w:val="-3"/>
                <w:szCs w:val="24"/>
              </w:rPr>
            </w:pPr>
            <w:r>
              <w:rPr>
                <w:rFonts w:cs="Arial"/>
                <w:color w:val="0000FF"/>
                <w:spacing w:val="-3"/>
                <w:szCs w:val="24"/>
              </w:rPr>
              <w:t xml:space="preserve">(number of canisters - 1) x (M) </w:t>
            </w:r>
          </w:p>
        </w:tc>
      </w:tr>
      <w:tr w:rsidR="00F82A0B" w:rsidTr="00113C80">
        <w:tc>
          <w:tcPr>
            <w:tcW w:w="3870" w:type="dxa"/>
          </w:tcPr>
          <w:p w:rsidR="00F82A0B" w:rsidRDefault="00F82A0B" w:rsidP="00113C80">
            <w:pPr>
              <w:autoSpaceDE w:val="0"/>
              <w:autoSpaceDN w:val="0"/>
              <w:adjustRightInd w:val="0"/>
              <w:jc w:val="right"/>
              <w:rPr>
                <w:rFonts w:cs="Arial"/>
                <w:i/>
                <w:iCs/>
                <w:spacing w:val="-3"/>
                <w:szCs w:val="24"/>
              </w:rPr>
            </w:pPr>
            <w:r>
              <w:rPr>
                <w:rFonts w:cs="Arial"/>
                <w:i/>
                <w:iCs/>
                <w:spacing w:val="-3"/>
                <w:szCs w:val="24"/>
              </w:rPr>
              <w:t>=</w:t>
            </w:r>
          </w:p>
        </w:tc>
        <w:tc>
          <w:tcPr>
            <w:tcW w:w="4590" w:type="dxa"/>
          </w:tcPr>
          <w:p w:rsidR="00F82A0B" w:rsidRDefault="00F82A0B" w:rsidP="00113C80">
            <w:pPr>
              <w:autoSpaceDE w:val="0"/>
              <w:autoSpaceDN w:val="0"/>
              <w:adjustRightInd w:val="0"/>
              <w:rPr>
                <w:rFonts w:cs="Arial"/>
                <w:color w:val="000000"/>
                <w:spacing w:val="-3"/>
                <w:szCs w:val="24"/>
              </w:rPr>
            </w:pPr>
            <w:r>
              <w:rPr>
                <w:rFonts w:cs="Arial"/>
                <w:color w:val="0000FF"/>
                <w:spacing w:val="-3"/>
                <w:szCs w:val="24"/>
              </w:rPr>
              <w:t>[ A ]</w:t>
            </w:r>
            <w:r>
              <w:rPr>
                <w:rFonts w:cs="Arial"/>
                <w:color w:val="000000"/>
                <w:spacing w:val="-3"/>
                <w:szCs w:val="24"/>
              </w:rPr>
              <w:t xml:space="preserve"> lbs</w:t>
            </w:r>
          </w:p>
        </w:tc>
      </w:tr>
    </w:tbl>
    <w:p w:rsidR="00F82A0B" w:rsidRDefault="00F82A0B" w:rsidP="00F82A0B">
      <w:pPr>
        <w:tabs>
          <w:tab w:val="left" w:pos="1440"/>
        </w:tabs>
        <w:suppressAutoHyphens/>
        <w:autoSpaceDE w:val="0"/>
        <w:autoSpaceDN w:val="0"/>
        <w:adjustRightInd w:val="0"/>
        <w:ind w:left="720"/>
        <w:jc w:val="both"/>
        <w:rPr>
          <w:rFonts w:cs="Arial"/>
          <w:color w:val="0000FF"/>
          <w:spacing w:val="-3"/>
          <w:szCs w:val="24"/>
        </w:rPr>
      </w:pPr>
      <w:r>
        <w:rPr>
          <w:rFonts w:cs="Arial"/>
          <w:i/>
          <w:iCs/>
          <w:color w:val="0000FF"/>
          <w:sz w:val="20"/>
        </w:rPr>
        <w:t>*The last canister is not included as it is only used for backup.</w:t>
      </w:r>
    </w:p>
    <w:p w:rsidR="00F82A0B" w:rsidRDefault="00F82A0B" w:rsidP="00F82A0B">
      <w:pPr>
        <w:suppressAutoHyphens/>
        <w:ind w:left="720"/>
        <w:jc w:val="both"/>
        <w:rPr>
          <w:spacing w:val="-3"/>
        </w:rPr>
      </w:pPr>
    </w:p>
    <w:p w:rsidR="00F82A0B" w:rsidRDefault="00F82A0B" w:rsidP="00F82A0B">
      <w:pPr>
        <w:suppressAutoHyphens/>
        <w:jc w:val="both"/>
        <w:rPr>
          <w:spacing w:val="-3"/>
        </w:rPr>
      </w:pPr>
      <w:r>
        <w:rPr>
          <w:spacing w:val="-3"/>
        </w:rPr>
        <w:t>Assuming a working bed capacity of 20% for carbon (weight of solvent per weight of carbon) before breakthrough, the total mass of carbon from the canister</w:t>
      </w:r>
      <w:r>
        <w:rPr>
          <w:color w:val="0000FF"/>
          <w:spacing w:val="-3"/>
        </w:rPr>
        <w:t>s</w:t>
      </w:r>
      <w:r>
        <w:rPr>
          <w:spacing w:val="-3"/>
        </w:rPr>
        <w:t xml:space="preserve"> to adsorb solvent is:</w:t>
      </w:r>
    </w:p>
    <w:p w:rsidR="00F82A0B" w:rsidRDefault="00F82A0B" w:rsidP="00F82A0B">
      <w:pPr>
        <w:suppressAutoHyphens/>
        <w:ind w:left="720"/>
        <w:jc w:val="both"/>
        <w:rPr>
          <w:spacing w:val="-3"/>
        </w:rPr>
      </w:pPr>
    </w:p>
    <w:p w:rsidR="00F82A0B" w:rsidRDefault="00F82A0B" w:rsidP="00F82A0B">
      <w:pPr>
        <w:suppressAutoHyphens/>
        <w:ind w:left="720"/>
        <w:jc w:val="both"/>
        <w:rPr>
          <w:spacing w:val="-3"/>
        </w:rPr>
      </w:pPr>
      <w:r>
        <w:rPr>
          <w:color w:val="0000FF"/>
          <w:spacing w:val="-3"/>
        </w:rPr>
        <w:t>[ A ]</w:t>
      </w:r>
      <w:r>
        <w:rPr>
          <w:spacing w:val="-3"/>
        </w:rPr>
        <w:t xml:space="preserve"> lbs  </w:t>
      </w:r>
      <w:r>
        <w:rPr>
          <w:spacing w:val="-3"/>
        </w:rPr>
        <w:sym w:font="Symbol" w:char="F0B4"/>
      </w:r>
      <w:r>
        <w:rPr>
          <w:spacing w:val="-3"/>
        </w:rPr>
        <w:t xml:space="preserve">  (0.2) = </w:t>
      </w:r>
      <w:r>
        <w:rPr>
          <w:color w:val="0000FF"/>
          <w:spacing w:val="-3"/>
        </w:rPr>
        <w:t xml:space="preserve">[ B ] </w:t>
      </w:r>
      <w:r>
        <w:rPr>
          <w:spacing w:val="-3"/>
        </w:rPr>
        <w:t>lbs</w:t>
      </w:r>
    </w:p>
    <w:p w:rsidR="00F82A0B" w:rsidRDefault="00F82A0B" w:rsidP="00F82A0B">
      <w:pPr>
        <w:suppressAutoHyphens/>
        <w:ind w:left="720"/>
        <w:jc w:val="both"/>
        <w:rPr>
          <w:spacing w:val="-3"/>
        </w:rPr>
      </w:pPr>
    </w:p>
    <w:p w:rsidR="00F82A0B" w:rsidRDefault="00F82A0B" w:rsidP="00F82A0B">
      <w:pPr>
        <w:suppressAutoHyphens/>
        <w:ind w:left="720"/>
        <w:jc w:val="both"/>
        <w:rPr>
          <w:spacing w:val="-3"/>
        </w:rPr>
      </w:pPr>
      <w:r>
        <w:rPr>
          <w:spacing w:val="-3"/>
        </w:rPr>
        <w:t>The number of days before breakthrough would then be:</w:t>
      </w:r>
    </w:p>
    <w:p w:rsidR="00F82A0B" w:rsidRDefault="00F82A0B" w:rsidP="00F82A0B">
      <w:pPr>
        <w:suppressAutoHyphens/>
        <w:ind w:left="720"/>
        <w:jc w:val="both"/>
        <w:rPr>
          <w:spacing w:val="-3"/>
        </w:rPr>
      </w:pPr>
    </w:p>
    <w:p w:rsidR="00F82A0B" w:rsidRDefault="00F82A0B" w:rsidP="00F82A0B">
      <w:pPr>
        <w:suppressAutoHyphens/>
        <w:ind w:left="720"/>
        <w:jc w:val="both"/>
        <w:rPr>
          <w:spacing w:val="-3"/>
        </w:rPr>
      </w:pPr>
      <w:r>
        <w:rPr>
          <w:color w:val="0000FF"/>
          <w:spacing w:val="-3"/>
        </w:rPr>
        <w:lastRenderedPageBreak/>
        <w:t>[ B ]</w:t>
      </w:r>
      <w:r>
        <w:rPr>
          <w:spacing w:val="-3"/>
        </w:rPr>
        <w:t xml:space="preserve"> lb  </w:t>
      </w:r>
      <w:r>
        <w:rPr>
          <w:spacing w:val="-3"/>
        </w:rPr>
        <w:sym w:font="Symbol" w:char="F0B8"/>
      </w:r>
      <w:r>
        <w:rPr>
          <w:spacing w:val="-3"/>
        </w:rPr>
        <w:t xml:space="preserve">  </w:t>
      </w:r>
      <w:r>
        <w:rPr>
          <w:color w:val="0000FF"/>
          <w:spacing w:val="-3"/>
        </w:rPr>
        <w:t>[ Z ]</w:t>
      </w:r>
      <w:r>
        <w:rPr>
          <w:spacing w:val="-3"/>
        </w:rPr>
        <w:t xml:space="preserve"> lb/day = </w:t>
      </w:r>
      <w:r>
        <w:rPr>
          <w:color w:val="0000FF"/>
          <w:spacing w:val="-3"/>
        </w:rPr>
        <w:t xml:space="preserve">[ # ] </w:t>
      </w:r>
      <w:r>
        <w:rPr>
          <w:spacing w:val="-3"/>
        </w:rPr>
        <w:t>days</w:t>
      </w:r>
    </w:p>
    <w:p w:rsidR="00F82A0B" w:rsidRDefault="00F82A0B" w:rsidP="00F82A0B">
      <w:pPr>
        <w:suppressAutoHyphens/>
        <w:ind w:left="720"/>
        <w:jc w:val="both"/>
        <w:rPr>
          <w:spacing w:val="-3"/>
        </w:rPr>
      </w:pPr>
      <w:r>
        <w:rPr>
          <w:spacing w:val="-3"/>
        </w:rPr>
        <w:t xml:space="preserve"> </w:t>
      </w:r>
    </w:p>
    <w:p w:rsidR="00F82A0B" w:rsidRDefault="00F82A0B" w:rsidP="00F82A0B">
      <w:pPr>
        <w:suppressAutoHyphens/>
        <w:jc w:val="both"/>
        <w:rPr>
          <w:spacing w:val="-3"/>
        </w:rPr>
      </w:pPr>
      <w:r>
        <w:rPr>
          <w:spacing w:val="-3"/>
        </w:rPr>
        <w:t>Since the breakthrough period is greater than seven days, this project is approvable.</w:t>
      </w:r>
    </w:p>
    <w:p w:rsidR="00F82A0B" w:rsidRDefault="00F82A0B">
      <w:pPr>
        <w:suppressAutoHyphens/>
        <w:ind w:left="2610" w:firstLine="270"/>
        <w:rPr>
          <w:spacing w:val="-3"/>
        </w:rPr>
      </w:pPr>
    </w:p>
    <w:p w:rsidR="00DB5DB6" w:rsidRDefault="00DB5DB6">
      <w:pPr>
        <w:suppressAutoHyphens/>
        <w:ind w:left="3870" w:hanging="2430"/>
        <w:rPr>
          <w:spacing w:val="-3"/>
        </w:rPr>
      </w:pPr>
    </w:p>
    <w:tbl>
      <w:tblPr>
        <w:tblW w:w="0" w:type="auto"/>
        <w:tblInd w:w="1562" w:type="dxa"/>
        <w:tblCellMar>
          <w:left w:w="122" w:type="dxa"/>
          <w:right w:w="122" w:type="dxa"/>
        </w:tblCellMar>
        <w:tblLook w:val="0000" w:firstRow="0" w:lastRow="0" w:firstColumn="0" w:lastColumn="0" w:noHBand="0" w:noVBand="0"/>
      </w:tblPr>
      <w:tblGrid>
        <w:gridCol w:w="1350"/>
        <w:gridCol w:w="2054"/>
        <w:gridCol w:w="1636"/>
      </w:tblGrid>
      <w:tr w:rsidR="00DB5DB6" w:rsidTr="00D917EC">
        <w:trPr>
          <w:cantSplit/>
        </w:trPr>
        <w:tc>
          <w:tcPr>
            <w:tcW w:w="5040" w:type="dxa"/>
            <w:gridSpan w:val="3"/>
            <w:tcBorders>
              <w:top w:val="double" w:sz="6" w:space="0" w:color="auto"/>
              <w:left w:val="double" w:sz="6" w:space="0" w:color="auto"/>
              <w:right w:val="double" w:sz="6" w:space="0" w:color="auto"/>
            </w:tcBorders>
            <w:shd w:val="clear" w:color="auto" w:fill="auto"/>
          </w:tcPr>
          <w:p w:rsidR="00DB5DB6" w:rsidRDefault="00DB5DB6">
            <w:pPr>
              <w:suppressAutoHyphens/>
              <w:spacing w:before="40" w:after="40"/>
              <w:jc w:val="center"/>
              <w:rPr>
                <w:b/>
                <w:bCs/>
                <w:spacing w:val="-3"/>
              </w:rPr>
            </w:pPr>
            <w:r>
              <w:rPr>
                <w:b/>
                <w:bCs/>
                <w:spacing w:val="-3"/>
              </w:rPr>
              <w:t>Post-Project Potential to Emit (PE2)</w:t>
            </w:r>
          </w:p>
        </w:tc>
      </w:tr>
      <w:tr w:rsidR="00DB5DB6" w:rsidTr="00D917EC">
        <w:trPr>
          <w:cantSplit/>
          <w:trHeight w:val="275"/>
        </w:trPr>
        <w:tc>
          <w:tcPr>
            <w:tcW w:w="1350" w:type="dxa"/>
            <w:tcBorders>
              <w:top w:val="double" w:sz="6" w:space="0" w:color="auto"/>
              <w:left w:val="double" w:sz="6" w:space="0" w:color="auto"/>
            </w:tcBorders>
            <w:shd w:val="clear" w:color="auto" w:fill="auto"/>
            <w:vAlign w:val="center"/>
          </w:tcPr>
          <w:p w:rsidR="00DB5DB6" w:rsidRDefault="00DB5DB6">
            <w:pPr>
              <w:suppressAutoHyphens/>
              <w:rPr>
                <w:b/>
                <w:bCs/>
                <w:spacing w:val="-3"/>
              </w:rPr>
            </w:pPr>
            <w:r>
              <w:rPr>
                <w:b/>
                <w:bCs/>
                <w:spacing w:val="-3"/>
              </w:rPr>
              <w:t>Pollutant</w:t>
            </w:r>
          </w:p>
        </w:tc>
        <w:tc>
          <w:tcPr>
            <w:tcW w:w="2054" w:type="dxa"/>
            <w:tcBorders>
              <w:top w:val="double" w:sz="6" w:space="0" w:color="auto"/>
              <w:left w:val="single" w:sz="6" w:space="0" w:color="auto"/>
              <w:right w:val="single" w:sz="6" w:space="0" w:color="auto"/>
            </w:tcBorders>
            <w:shd w:val="clear" w:color="auto" w:fill="auto"/>
            <w:vAlign w:val="center"/>
          </w:tcPr>
          <w:p w:rsidR="00DB5DB6" w:rsidRDefault="00DB5DB6">
            <w:pPr>
              <w:suppressAutoHyphens/>
              <w:rPr>
                <w:b/>
                <w:bCs/>
                <w:spacing w:val="-3"/>
              </w:rPr>
            </w:pPr>
            <w:r>
              <w:rPr>
                <w:b/>
                <w:bCs/>
                <w:spacing w:val="-3"/>
              </w:rPr>
              <w:t>(lb/day)</w:t>
            </w:r>
          </w:p>
        </w:tc>
        <w:tc>
          <w:tcPr>
            <w:tcW w:w="1636" w:type="dxa"/>
            <w:tcBorders>
              <w:top w:val="double" w:sz="6" w:space="0" w:color="auto"/>
              <w:left w:val="single" w:sz="6" w:space="0" w:color="auto"/>
              <w:right w:val="double" w:sz="6" w:space="0" w:color="auto"/>
            </w:tcBorders>
            <w:shd w:val="clear" w:color="auto" w:fill="auto"/>
            <w:vAlign w:val="center"/>
          </w:tcPr>
          <w:p w:rsidR="00DB5DB6" w:rsidRDefault="00DB5DB6">
            <w:pPr>
              <w:suppressAutoHyphens/>
              <w:rPr>
                <w:b/>
                <w:bCs/>
                <w:spacing w:val="-3"/>
              </w:rPr>
            </w:pPr>
            <w:r>
              <w:rPr>
                <w:b/>
                <w:bCs/>
                <w:spacing w:val="-3"/>
              </w:rPr>
              <w:t>(lb/yr)</w:t>
            </w:r>
          </w:p>
        </w:tc>
      </w:tr>
      <w:tr w:rsidR="00DB5DB6" w:rsidTr="00D917EC">
        <w:trPr>
          <w:cantSplit/>
        </w:trPr>
        <w:tc>
          <w:tcPr>
            <w:tcW w:w="1350" w:type="dxa"/>
            <w:tcBorders>
              <w:top w:val="double" w:sz="6" w:space="0" w:color="auto"/>
              <w:left w:val="double" w:sz="6" w:space="0" w:color="auto"/>
            </w:tcBorders>
            <w:shd w:val="clear" w:color="auto" w:fill="auto"/>
            <w:vAlign w:val="center"/>
          </w:tcPr>
          <w:p w:rsidR="00DB5DB6" w:rsidRDefault="00DB5DB6">
            <w:pPr>
              <w:suppressAutoHyphens/>
              <w:rPr>
                <w:spacing w:val="-3"/>
              </w:rPr>
            </w:pPr>
            <w:r>
              <w:rPr>
                <w:noProof/>
                <w:spacing w:val="-3"/>
              </w:rPr>
              <w:t>NO</w:t>
            </w:r>
            <w:r>
              <w:rPr>
                <w:noProof/>
                <w:spacing w:val="-3"/>
                <w:vertAlign w:val="subscript"/>
              </w:rPr>
              <w:t>x</w:t>
            </w:r>
          </w:p>
        </w:tc>
        <w:tc>
          <w:tcPr>
            <w:tcW w:w="2054" w:type="dxa"/>
            <w:tcBorders>
              <w:top w:val="double" w:sz="6" w:space="0" w:color="auto"/>
              <w:left w:val="single" w:sz="6" w:space="0" w:color="auto"/>
              <w:right w:val="single" w:sz="6" w:space="0" w:color="auto"/>
            </w:tcBorders>
            <w:shd w:val="clear" w:color="auto" w:fill="auto"/>
            <w:vAlign w:val="center"/>
          </w:tcPr>
          <w:p w:rsidR="00DB5DB6" w:rsidRDefault="00DB5DB6">
            <w:pPr>
              <w:suppressAutoHyphens/>
              <w:rPr>
                <w:spacing w:val="-3"/>
              </w:rPr>
            </w:pPr>
            <w:r>
              <w:rPr>
                <w:spacing w:val="-3"/>
              </w:rPr>
              <w:t>--</w:t>
            </w:r>
          </w:p>
        </w:tc>
        <w:tc>
          <w:tcPr>
            <w:tcW w:w="1636" w:type="dxa"/>
            <w:tcBorders>
              <w:top w:val="double" w:sz="6" w:space="0" w:color="auto"/>
              <w:left w:val="single" w:sz="6" w:space="0" w:color="auto"/>
              <w:right w:val="double" w:sz="6" w:space="0" w:color="auto"/>
            </w:tcBorders>
            <w:shd w:val="clear" w:color="auto" w:fill="auto"/>
            <w:vAlign w:val="center"/>
          </w:tcPr>
          <w:p w:rsidR="00DB5DB6" w:rsidRDefault="00DB5DB6">
            <w:pPr>
              <w:suppressAutoHyphens/>
              <w:rPr>
                <w:spacing w:val="-3"/>
              </w:rPr>
            </w:pPr>
            <w:r>
              <w:rPr>
                <w:spacing w:val="-3"/>
              </w:rPr>
              <w:t>--</w:t>
            </w:r>
          </w:p>
        </w:tc>
      </w:tr>
      <w:tr w:rsidR="00DB5DB6" w:rsidTr="00D917EC">
        <w:trPr>
          <w:cantSplit/>
        </w:trPr>
        <w:tc>
          <w:tcPr>
            <w:tcW w:w="1350" w:type="dxa"/>
            <w:tcBorders>
              <w:top w:val="single" w:sz="6" w:space="0" w:color="auto"/>
              <w:left w:val="double" w:sz="6" w:space="0" w:color="auto"/>
            </w:tcBorders>
            <w:shd w:val="clear" w:color="auto" w:fill="auto"/>
            <w:vAlign w:val="center"/>
          </w:tcPr>
          <w:p w:rsidR="00DB5DB6" w:rsidRDefault="00DB5DB6">
            <w:pPr>
              <w:suppressAutoHyphens/>
              <w:rPr>
                <w:spacing w:val="-3"/>
              </w:rPr>
            </w:pPr>
            <w:r>
              <w:rPr>
                <w:noProof/>
                <w:spacing w:val="-3"/>
              </w:rPr>
              <w:t>SO</w:t>
            </w:r>
            <w:r>
              <w:rPr>
                <w:noProof/>
                <w:spacing w:val="-3"/>
                <w:vertAlign w:val="subscript"/>
              </w:rPr>
              <w:t>x</w:t>
            </w:r>
          </w:p>
        </w:tc>
        <w:tc>
          <w:tcPr>
            <w:tcW w:w="2054" w:type="dxa"/>
            <w:tcBorders>
              <w:top w:val="single" w:sz="6" w:space="0" w:color="auto"/>
              <w:left w:val="single" w:sz="6" w:space="0" w:color="auto"/>
              <w:right w:val="single" w:sz="6" w:space="0" w:color="auto"/>
            </w:tcBorders>
            <w:shd w:val="clear" w:color="auto" w:fill="auto"/>
            <w:vAlign w:val="center"/>
          </w:tcPr>
          <w:p w:rsidR="00DB5DB6" w:rsidRDefault="00DB5DB6">
            <w:pPr>
              <w:suppressAutoHyphens/>
              <w:rPr>
                <w:spacing w:val="-3"/>
              </w:rPr>
            </w:pPr>
            <w:r>
              <w:rPr>
                <w:spacing w:val="-3"/>
              </w:rPr>
              <w:t>--</w:t>
            </w:r>
          </w:p>
        </w:tc>
        <w:tc>
          <w:tcPr>
            <w:tcW w:w="1636" w:type="dxa"/>
            <w:tcBorders>
              <w:top w:val="single" w:sz="6" w:space="0" w:color="auto"/>
              <w:left w:val="single" w:sz="6" w:space="0" w:color="auto"/>
              <w:right w:val="double" w:sz="6" w:space="0" w:color="auto"/>
            </w:tcBorders>
            <w:shd w:val="clear" w:color="auto" w:fill="auto"/>
            <w:vAlign w:val="center"/>
          </w:tcPr>
          <w:p w:rsidR="00DB5DB6" w:rsidRDefault="00DB5DB6">
            <w:pPr>
              <w:suppressAutoHyphens/>
              <w:rPr>
                <w:spacing w:val="-3"/>
              </w:rPr>
            </w:pPr>
            <w:r>
              <w:rPr>
                <w:spacing w:val="-3"/>
              </w:rPr>
              <w:t>--</w:t>
            </w:r>
          </w:p>
        </w:tc>
      </w:tr>
      <w:tr w:rsidR="00DB5DB6" w:rsidTr="00D917EC">
        <w:trPr>
          <w:cantSplit/>
        </w:trPr>
        <w:tc>
          <w:tcPr>
            <w:tcW w:w="1350" w:type="dxa"/>
            <w:tcBorders>
              <w:top w:val="single" w:sz="6" w:space="0" w:color="auto"/>
              <w:left w:val="double" w:sz="6" w:space="0" w:color="auto"/>
            </w:tcBorders>
            <w:shd w:val="clear" w:color="auto" w:fill="auto"/>
            <w:vAlign w:val="center"/>
          </w:tcPr>
          <w:p w:rsidR="00DB5DB6" w:rsidRDefault="00DB5DB6">
            <w:pPr>
              <w:suppressAutoHyphens/>
              <w:rPr>
                <w:spacing w:val="-3"/>
              </w:rPr>
            </w:pPr>
            <w:r>
              <w:rPr>
                <w:spacing w:val="-3"/>
              </w:rPr>
              <w:t>PM</w:t>
            </w:r>
            <w:r>
              <w:rPr>
                <w:spacing w:val="-3"/>
                <w:vertAlign w:val="subscript"/>
              </w:rPr>
              <w:t>10</w:t>
            </w:r>
          </w:p>
        </w:tc>
        <w:tc>
          <w:tcPr>
            <w:tcW w:w="2054" w:type="dxa"/>
            <w:tcBorders>
              <w:top w:val="single" w:sz="6" w:space="0" w:color="auto"/>
              <w:left w:val="single" w:sz="6" w:space="0" w:color="auto"/>
              <w:right w:val="single" w:sz="6" w:space="0" w:color="auto"/>
            </w:tcBorders>
            <w:shd w:val="clear" w:color="auto" w:fill="auto"/>
            <w:vAlign w:val="center"/>
          </w:tcPr>
          <w:p w:rsidR="00DB5DB6" w:rsidRDefault="00DB5DB6">
            <w:pPr>
              <w:suppressAutoHyphens/>
              <w:rPr>
                <w:spacing w:val="-3"/>
              </w:rPr>
            </w:pPr>
            <w:r>
              <w:rPr>
                <w:spacing w:val="-3"/>
              </w:rPr>
              <w:t>--</w:t>
            </w:r>
          </w:p>
        </w:tc>
        <w:tc>
          <w:tcPr>
            <w:tcW w:w="1636" w:type="dxa"/>
            <w:tcBorders>
              <w:top w:val="single" w:sz="6" w:space="0" w:color="auto"/>
              <w:left w:val="single" w:sz="6" w:space="0" w:color="auto"/>
              <w:right w:val="double" w:sz="6" w:space="0" w:color="auto"/>
            </w:tcBorders>
            <w:shd w:val="clear" w:color="auto" w:fill="auto"/>
            <w:vAlign w:val="center"/>
          </w:tcPr>
          <w:p w:rsidR="00DB5DB6" w:rsidRDefault="00DB5DB6">
            <w:pPr>
              <w:suppressAutoHyphens/>
              <w:rPr>
                <w:spacing w:val="-3"/>
              </w:rPr>
            </w:pPr>
            <w:r>
              <w:rPr>
                <w:spacing w:val="-3"/>
              </w:rPr>
              <w:t>--</w:t>
            </w:r>
          </w:p>
        </w:tc>
      </w:tr>
      <w:tr w:rsidR="00DB5DB6" w:rsidTr="00D917EC">
        <w:trPr>
          <w:cantSplit/>
        </w:trPr>
        <w:tc>
          <w:tcPr>
            <w:tcW w:w="1350" w:type="dxa"/>
            <w:tcBorders>
              <w:top w:val="single" w:sz="6" w:space="0" w:color="auto"/>
              <w:left w:val="double" w:sz="6" w:space="0" w:color="auto"/>
            </w:tcBorders>
            <w:shd w:val="clear" w:color="auto" w:fill="auto"/>
            <w:vAlign w:val="center"/>
          </w:tcPr>
          <w:p w:rsidR="00DB5DB6" w:rsidRDefault="00DB5DB6">
            <w:pPr>
              <w:suppressAutoHyphens/>
              <w:rPr>
                <w:spacing w:val="-3"/>
              </w:rPr>
            </w:pPr>
            <w:r>
              <w:rPr>
                <w:spacing w:val="-3"/>
              </w:rPr>
              <w:t>CO</w:t>
            </w:r>
          </w:p>
        </w:tc>
        <w:tc>
          <w:tcPr>
            <w:tcW w:w="2054" w:type="dxa"/>
            <w:tcBorders>
              <w:top w:val="single" w:sz="6" w:space="0" w:color="auto"/>
              <w:left w:val="single" w:sz="6" w:space="0" w:color="auto"/>
              <w:right w:val="single" w:sz="6" w:space="0" w:color="auto"/>
            </w:tcBorders>
            <w:shd w:val="clear" w:color="auto" w:fill="auto"/>
            <w:vAlign w:val="center"/>
          </w:tcPr>
          <w:p w:rsidR="00DB5DB6" w:rsidRDefault="00DB5DB6">
            <w:pPr>
              <w:suppressAutoHyphens/>
              <w:rPr>
                <w:spacing w:val="-3"/>
              </w:rPr>
            </w:pPr>
            <w:r>
              <w:rPr>
                <w:spacing w:val="-3"/>
              </w:rPr>
              <w:t>--</w:t>
            </w:r>
          </w:p>
        </w:tc>
        <w:tc>
          <w:tcPr>
            <w:tcW w:w="1636" w:type="dxa"/>
            <w:tcBorders>
              <w:top w:val="single" w:sz="6" w:space="0" w:color="auto"/>
              <w:left w:val="single" w:sz="6" w:space="0" w:color="auto"/>
              <w:right w:val="double" w:sz="6" w:space="0" w:color="auto"/>
            </w:tcBorders>
            <w:shd w:val="clear" w:color="auto" w:fill="auto"/>
            <w:vAlign w:val="center"/>
          </w:tcPr>
          <w:p w:rsidR="00DB5DB6" w:rsidRDefault="00DB5DB6">
            <w:pPr>
              <w:suppressAutoHyphens/>
              <w:rPr>
                <w:spacing w:val="-3"/>
              </w:rPr>
            </w:pPr>
            <w:r>
              <w:rPr>
                <w:spacing w:val="-3"/>
              </w:rPr>
              <w:t>--</w:t>
            </w:r>
          </w:p>
        </w:tc>
      </w:tr>
      <w:tr w:rsidR="00DB5DB6" w:rsidTr="00D917EC">
        <w:trPr>
          <w:cantSplit/>
        </w:trPr>
        <w:tc>
          <w:tcPr>
            <w:tcW w:w="1350" w:type="dxa"/>
            <w:tcBorders>
              <w:top w:val="single" w:sz="6" w:space="0" w:color="auto"/>
              <w:left w:val="double" w:sz="6" w:space="0" w:color="auto"/>
              <w:bottom w:val="double" w:sz="6" w:space="0" w:color="auto"/>
            </w:tcBorders>
            <w:shd w:val="clear" w:color="auto" w:fill="auto"/>
            <w:vAlign w:val="center"/>
          </w:tcPr>
          <w:p w:rsidR="00DB5DB6" w:rsidRDefault="00DB5DB6">
            <w:pPr>
              <w:suppressAutoHyphens/>
              <w:rPr>
                <w:spacing w:val="-3"/>
              </w:rPr>
            </w:pPr>
            <w:r>
              <w:rPr>
                <w:spacing w:val="-3"/>
              </w:rPr>
              <w:t>VOC</w:t>
            </w:r>
          </w:p>
        </w:tc>
        <w:tc>
          <w:tcPr>
            <w:tcW w:w="2054" w:type="dxa"/>
            <w:tcBorders>
              <w:top w:val="single" w:sz="6" w:space="0" w:color="auto"/>
              <w:left w:val="single" w:sz="6" w:space="0" w:color="auto"/>
              <w:bottom w:val="double" w:sz="6" w:space="0" w:color="auto"/>
              <w:right w:val="single" w:sz="6" w:space="0" w:color="auto"/>
            </w:tcBorders>
            <w:shd w:val="clear" w:color="auto" w:fill="auto"/>
            <w:vAlign w:val="center"/>
          </w:tcPr>
          <w:p w:rsidR="00DB5DB6" w:rsidRDefault="00DB5DB6">
            <w:pPr>
              <w:suppressAutoHyphens/>
              <w:rPr>
                <w:color w:val="0000FF"/>
                <w:spacing w:val="-3"/>
              </w:rPr>
            </w:pPr>
            <w:r>
              <w:rPr>
                <w:color w:val="0000FF"/>
                <w:spacing w:val="-3"/>
              </w:rPr>
              <w:t>[  ]</w:t>
            </w:r>
          </w:p>
        </w:tc>
        <w:tc>
          <w:tcPr>
            <w:tcW w:w="1636" w:type="dxa"/>
            <w:tcBorders>
              <w:top w:val="single" w:sz="6" w:space="0" w:color="auto"/>
              <w:left w:val="single" w:sz="6" w:space="0" w:color="auto"/>
              <w:bottom w:val="double" w:sz="6" w:space="0" w:color="auto"/>
              <w:right w:val="double" w:sz="6" w:space="0" w:color="auto"/>
            </w:tcBorders>
            <w:shd w:val="clear" w:color="auto" w:fill="auto"/>
            <w:vAlign w:val="center"/>
          </w:tcPr>
          <w:p w:rsidR="00DB5DB6" w:rsidRDefault="00DB5DB6">
            <w:pPr>
              <w:suppressAutoHyphens/>
              <w:rPr>
                <w:color w:val="0000FF"/>
                <w:spacing w:val="-3"/>
              </w:rPr>
            </w:pPr>
            <w:r>
              <w:rPr>
                <w:color w:val="0000FF"/>
                <w:spacing w:val="-3"/>
              </w:rPr>
              <w:t>[  ]</w:t>
            </w:r>
          </w:p>
        </w:tc>
      </w:tr>
    </w:tbl>
    <w:p w:rsidR="00DB5DB6" w:rsidRDefault="00DB5DB6">
      <w:pPr>
        <w:suppressAutoHyphens/>
        <w:ind w:left="720" w:firstLine="720"/>
        <w:rPr>
          <w:spacing w:val="-3"/>
          <w:sz w:val="20"/>
        </w:rPr>
      </w:pPr>
      <w:r>
        <w:rPr>
          <w:spacing w:val="-3"/>
          <w:sz w:val="20"/>
        </w:rPr>
        <w:t>Note: PE</w:t>
      </w:r>
      <w:r>
        <w:rPr>
          <w:spacing w:val="-3"/>
          <w:sz w:val="20"/>
          <w:vertAlign w:val="subscript"/>
        </w:rPr>
        <w:t xml:space="preserve">annual </w:t>
      </w:r>
      <w:r>
        <w:rPr>
          <w:spacing w:val="-3"/>
          <w:sz w:val="20"/>
        </w:rPr>
        <w:t>(lb/yr) = PE</w:t>
      </w:r>
      <w:r>
        <w:rPr>
          <w:spacing w:val="-3"/>
          <w:sz w:val="20"/>
          <w:vertAlign w:val="subscript"/>
        </w:rPr>
        <w:t xml:space="preserve"> </w:t>
      </w:r>
      <w:r>
        <w:rPr>
          <w:spacing w:val="-3"/>
          <w:sz w:val="20"/>
        </w:rPr>
        <w:t>(lb/day) x 365 (days/yr)</w:t>
      </w:r>
    </w:p>
    <w:p w:rsidR="00C24613" w:rsidRDefault="00C24613">
      <w:pPr>
        <w:suppressAutoHyphens/>
        <w:ind w:left="720" w:firstLine="720"/>
        <w:rPr>
          <w:spacing w:val="-3"/>
          <w:sz w:val="20"/>
        </w:rPr>
      </w:pPr>
    </w:p>
    <w:p w:rsidR="00C24613" w:rsidRDefault="00C24613">
      <w:pPr>
        <w:suppressAutoHyphens/>
        <w:ind w:left="720" w:firstLine="720"/>
        <w:rPr>
          <w:spacing w:val="-3"/>
          <w:sz w:val="20"/>
        </w:rPr>
      </w:pPr>
    </w:p>
    <w:p w:rsidR="00DB5DB6" w:rsidRDefault="00DB5DB6">
      <w:pPr>
        <w:suppressAutoHyphens/>
        <w:ind w:left="720"/>
        <w:jc w:val="both"/>
        <w:rPr>
          <w:spacing w:val="-3"/>
        </w:rPr>
      </w:pPr>
    </w:p>
    <w:p w:rsidR="00DB5DB6" w:rsidRDefault="00DB5DB6">
      <w:pPr>
        <w:pStyle w:val="Heading3"/>
      </w:pPr>
      <w:r>
        <w:t>Pre-Project Stationary Source Potential to Emit (SSPE1)</w:t>
      </w:r>
    </w:p>
    <w:p w:rsidR="00DB5DB6" w:rsidRDefault="00DB5DB6">
      <w:pPr>
        <w:suppressAutoHyphens/>
        <w:jc w:val="both"/>
        <w:rPr>
          <w:spacing w:val="-3"/>
        </w:rPr>
      </w:pPr>
      <w:r>
        <w:rPr>
          <w:spacing w:val="-3"/>
        </w:rPr>
        <w:tab/>
      </w:r>
    </w:p>
    <w:p w:rsidR="00DB5DB6" w:rsidRDefault="00DB5DB6">
      <w:pPr>
        <w:suppressAutoHyphens/>
        <w:ind w:left="720"/>
        <w:rPr>
          <w:i/>
          <w:iCs/>
          <w:color w:val="FF0000"/>
          <w:spacing w:val="-3"/>
        </w:rPr>
      </w:pPr>
      <w:r>
        <w:rPr>
          <w:i/>
          <w:iCs/>
          <w:color w:val="FF0000"/>
          <w:spacing w:val="-3"/>
        </w:rPr>
        <w:t>[For New Facilities]</w:t>
      </w:r>
    </w:p>
    <w:p w:rsidR="00DB5DB6" w:rsidRDefault="00DB5DB6">
      <w:pPr>
        <w:suppressAutoHyphens/>
        <w:rPr>
          <w:spacing w:val="-3"/>
        </w:rPr>
      </w:pPr>
    </w:p>
    <w:p w:rsidR="00DB5DB6" w:rsidRDefault="00DB5DB6">
      <w:pPr>
        <w:pStyle w:val="BodyTextIndent"/>
        <w:jc w:val="left"/>
      </w:pPr>
      <w:r>
        <w:t>Since this is a new facility, SSPE1 is equal to zero.</w:t>
      </w:r>
    </w:p>
    <w:p w:rsidR="00DB5DB6" w:rsidRDefault="00DB5DB6">
      <w:pPr>
        <w:suppressAutoHyphens/>
        <w:ind w:left="1080"/>
        <w:rPr>
          <w:i/>
          <w:color w:val="FF0000"/>
          <w:spacing w:val="-3"/>
        </w:rPr>
      </w:pPr>
    </w:p>
    <w:p w:rsidR="00DB5DB6" w:rsidRDefault="00DB5DB6">
      <w:pPr>
        <w:suppressAutoHyphens/>
        <w:ind w:left="720"/>
        <w:rPr>
          <w:i/>
          <w:color w:val="FF0000"/>
          <w:spacing w:val="-3"/>
        </w:rPr>
      </w:pPr>
      <w:r>
        <w:rPr>
          <w:i/>
          <w:color w:val="FF0000"/>
          <w:spacing w:val="-3"/>
        </w:rPr>
        <w:t>[For existing facilities]</w:t>
      </w:r>
    </w:p>
    <w:p w:rsidR="00DB5DB6" w:rsidRDefault="00DB5DB6">
      <w:pPr>
        <w:suppressAutoHyphens/>
        <w:ind w:left="1080"/>
        <w:rPr>
          <w:i/>
          <w:color w:val="FF0000"/>
          <w:spacing w:val="-3"/>
        </w:rPr>
      </w:pPr>
    </w:p>
    <w:p w:rsidR="00DB5DB6" w:rsidRDefault="00DB5DB6">
      <w:pPr>
        <w:pStyle w:val="BodyTextIndent3"/>
        <w:suppressAutoHyphens w:val="0"/>
        <w:ind w:left="720"/>
        <w:jc w:val="left"/>
        <w:rPr>
          <w:spacing w:val="0"/>
        </w:rPr>
      </w:pPr>
      <w:r>
        <w:rPr>
          <w:spacing w:val="0"/>
        </w:rPr>
        <w:t>Pursuant to Section 4.9 of District Rule 2201, the Pre-project Stationary Source Potential to Emit (SSPE1) is the Potential to Emit (PE) from all units with valid Authorities to Construct (ATC) or Permits to Operate (PTO) at the Stationary Source and the quantity of emission reduction credits (ERC) which have been banked since September 19, 1991 for Actual Emissions Reductions that have occurred at the source, and which have not been used on-site.</w:t>
      </w:r>
    </w:p>
    <w:p w:rsidR="00DB5DB6" w:rsidRDefault="00DB5DB6">
      <w:pPr>
        <w:suppressAutoHyphens/>
        <w:ind w:left="1080"/>
        <w:rPr>
          <w:i/>
          <w:color w:val="FF0000"/>
          <w:spacing w:val="-3"/>
        </w:rPr>
      </w:pPr>
    </w:p>
    <w:p w:rsidR="00DB5DB6" w:rsidRDefault="00DB5DB6">
      <w:pPr>
        <w:suppressAutoHyphens/>
        <w:ind w:left="720"/>
        <w:rPr>
          <w:spacing w:val="-3"/>
        </w:rPr>
      </w:pPr>
      <w:r>
        <w:rPr>
          <w:spacing w:val="-3"/>
        </w:rPr>
        <w:t>Since this is an existing facility, SSPE1 is equal to the PE</w:t>
      </w:r>
      <w:r>
        <w:rPr>
          <w:spacing w:val="-3"/>
          <w:vertAlign w:val="subscript"/>
        </w:rPr>
        <w:t xml:space="preserve">Total Pre-Project </w:t>
      </w:r>
      <w:r>
        <w:rPr>
          <w:spacing w:val="-3"/>
        </w:rPr>
        <w:t>for all criteria pollutants.</w:t>
      </w:r>
    </w:p>
    <w:p w:rsidR="00DB5DB6" w:rsidRDefault="00DB5DB6">
      <w:pPr>
        <w:suppressAutoHyphens/>
        <w:ind w:left="1080"/>
        <w:rPr>
          <w:spacing w:val="-3"/>
        </w:rPr>
      </w:pPr>
    </w:p>
    <w:p w:rsidR="00DB5DB6" w:rsidRDefault="00DB5DB6">
      <w:pPr>
        <w:pStyle w:val="BodyTextIndent"/>
        <w:jc w:val="left"/>
      </w:pPr>
      <w:r>
        <w:t>The Pre-project Stationary Source Potential to Emit (SSPE1) is presented in the following table:</w:t>
      </w:r>
    </w:p>
    <w:p w:rsidR="00DB5DB6" w:rsidRDefault="00DB5DB6">
      <w:pPr>
        <w:suppressAutoHyphens/>
        <w:rPr>
          <w:spacing w:val="-3"/>
        </w:rPr>
      </w:pPr>
    </w:p>
    <w:tbl>
      <w:tblPr>
        <w:tblW w:w="819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260"/>
        <w:gridCol w:w="1260"/>
        <w:gridCol w:w="1350"/>
        <w:gridCol w:w="1260"/>
        <w:gridCol w:w="1260"/>
      </w:tblGrid>
      <w:tr w:rsidR="00DB5DB6" w:rsidTr="00D917EC">
        <w:trPr>
          <w:cantSplit/>
        </w:trPr>
        <w:tc>
          <w:tcPr>
            <w:tcW w:w="8190" w:type="dxa"/>
            <w:gridSpan w:val="6"/>
            <w:tcBorders>
              <w:top w:val="double" w:sz="4" w:space="0" w:color="auto"/>
              <w:left w:val="double" w:sz="4" w:space="0" w:color="auto"/>
              <w:bottom w:val="double" w:sz="4" w:space="0" w:color="auto"/>
              <w:right w:val="double" w:sz="4" w:space="0" w:color="auto"/>
            </w:tcBorders>
            <w:shd w:val="clear" w:color="auto" w:fill="auto"/>
            <w:vAlign w:val="center"/>
          </w:tcPr>
          <w:p w:rsidR="00DB5DB6" w:rsidRDefault="00DB5DB6">
            <w:pPr>
              <w:pStyle w:val="Header"/>
              <w:tabs>
                <w:tab w:val="clear" w:pos="4320"/>
                <w:tab w:val="clear" w:pos="8640"/>
              </w:tabs>
              <w:spacing w:before="40" w:after="40"/>
              <w:jc w:val="center"/>
              <w:rPr>
                <w:b/>
              </w:rPr>
            </w:pPr>
            <w:r w:rsidRPr="00EE39D6">
              <w:rPr>
                <w:b/>
              </w:rPr>
              <w:t>Pre-Project Stationary Source Potential to Emit [SSPE1] (lb/year)</w:t>
            </w:r>
          </w:p>
        </w:tc>
      </w:tr>
      <w:tr w:rsidR="00DB5DB6" w:rsidTr="00D917EC">
        <w:tc>
          <w:tcPr>
            <w:tcW w:w="1800" w:type="dxa"/>
            <w:tcBorders>
              <w:top w:val="double" w:sz="4" w:space="0" w:color="auto"/>
              <w:left w:val="double" w:sz="4" w:space="0" w:color="auto"/>
              <w:bottom w:val="double" w:sz="4" w:space="0" w:color="auto"/>
            </w:tcBorders>
            <w:shd w:val="clear" w:color="auto" w:fill="auto"/>
          </w:tcPr>
          <w:p w:rsidR="00DB5DB6" w:rsidRDefault="00DB5DB6">
            <w:pPr>
              <w:pStyle w:val="Header"/>
              <w:tabs>
                <w:tab w:val="clear" w:pos="4320"/>
                <w:tab w:val="clear" w:pos="8640"/>
              </w:tabs>
              <w:spacing w:before="20" w:after="20"/>
              <w:rPr>
                <w:b/>
                <w:bCs/>
              </w:rPr>
            </w:pPr>
            <w:r>
              <w:rPr>
                <w:b/>
                <w:bCs/>
              </w:rPr>
              <w:t>Permit #</w:t>
            </w:r>
          </w:p>
        </w:tc>
        <w:tc>
          <w:tcPr>
            <w:tcW w:w="1260" w:type="dxa"/>
            <w:tcBorders>
              <w:top w:val="double" w:sz="4" w:space="0" w:color="auto"/>
              <w:bottom w:val="double" w:sz="4" w:space="0" w:color="auto"/>
            </w:tcBorders>
            <w:shd w:val="clear" w:color="auto" w:fill="auto"/>
          </w:tcPr>
          <w:p w:rsidR="00DB5DB6" w:rsidRDefault="00DB5DB6">
            <w:pPr>
              <w:pStyle w:val="Header"/>
              <w:tabs>
                <w:tab w:val="clear" w:pos="4320"/>
                <w:tab w:val="clear" w:pos="8640"/>
              </w:tabs>
              <w:spacing w:before="20" w:after="20"/>
              <w:rPr>
                <w:b/>
                <w:bCs/>
              </w:rPr>
            </w:pPr>
            <w:r>
              <w:rPr>
                <w:b/>
                <w:bCs/>
              </w:rPr>
              <w:t>NO</w:t>
            </w:r>
            <w:r>
              <w:rPr>
                <w:b/>
                <w:bCs/>
                <w:vertAlign w:val="subscript"/>
              </w:rPr>
              <w:t>X</w:t>
            </w:r>
          </w:p>
        </w:tc>
        <w:tc>
          <w:tcPr>
            <w:tcW w:w="1260" w:type="dxa"/>
            <w:tcBorders>
              <w:top w:val="double" w:sz="4" w:space="0" w:color="auto"/>
              <w:bottom w:val="double" w:sz="4" w:space="0" w:color="auto"/>
            </w:tcBorders>
            <w:shd w:val="clear" w:color="auto" w:fill="auto"/>
          </w:tcPr>
          <w:p w:rsidR="00DB5DB6" w:rsidRDefault="00DB5DB6">
            <w:pPr>
              <w:pStyle w:val="Header"/>
              <w:tabs>
                <w:tab w:val="clear" w:pos="4320"/>
                <w:tab w:val="clear" w:pos="8640"/>
              </w:tabs>
              <w:spacing w:before="20" w:after="20"/>
              <w:rPr>
                <w:b/>
                <w:bCs/>
              </w:rPr>
            </w:pPr>
            <w:r>
              <w:rPr>
                <w:b/>
                <w:bCs/>
              </w:rPr>
              <w:t>SOx</w:t>
            </w:r>
          </w:p>
        </w:tc>
        <w:tc>
          <w:tcPr>
            <w:tcW w:w="1350" w:type="dxa"/>
            <w:tcBorders>
              <w:top w:val="double" w:sz="4" w:space="0" w:color="auto"/>
              <w:bottom w:val="double" w:sz="4" w:space="0" w:color="auto"/>
            </w:tcBorders>
            <w:shd w:val="clear" w:color="auto" w:fill="auto"/>
          </w:tcPr>
          <w:p w:rsidR="00DB5DB6" w:rsidRDefault="00DB5DB6">
            <w:pPr>
              <w:pStyle w:val="Header"/>
              <w:tabs>
                <w:tab w:val="clear" w:pos="4320"/>
                <w:tab w:val="clear" w:pos="8640"/>
              </w:tabs>
              <w:spacing w:before="20" w:after="20"/>
              <w:rPr>
                <w:b/>
                <w:bCs/>
              </w:rPr>
            </w:pPr>
            <w:r>
              <w:rPr>
                <w:b/>
                <w:bCs/>
              </w:rPr>
              <w:t>PM</w:t>
            </w:r>
            <w:r>
              <w:rPr>
                <w:b/>
                <w:bCs/>
                <w:vertAlign w:val="subscript"/>
              </w:rPr>
              <w:t>10</w:t>
            </w:r>
          </w:p>
        </w:tc>
        <w:tc>
          <w:tcPr>
            <w:tcW w:w="1260" w:type="dxa"/>
            <w:tcBorders>
              <w:top w:val="double" w:sz="4" w:space="0" w:color="auto"/>
              <w:bottom w:val="double" w:sz="4" w:space="0" w:color="auto"/>
            </w:tcBorders>
            <w:shd w:val="clear" w:color="auto" w:fill="auto"/>
          </w:tcPr>
          <w:p w:rsidR="00DB5DB6" w:rsidRDefault="00DB5DB6">
            <w:pPr>
              <w:pStyle w:val="Header"/>
              <w:tabs>
                <w:tab w:val="clear" w:pos="4320"/>
                <w:tab w:val="clear" w:pos="8640"/>
              </w:tabs>
              <w:spacing w:before="20" w:after="20"/>
              <w:rPr>
                <w:b/>
                <w:bCs/>
              </w:rPr>
            </w:pPr>
            <w:r>
              <w:rPr>
                <w:b/>
                <w:bCs/>
              </w:rPr>
              <w:t>CO</w:t>
            </w:r>
          </w:p>
        </w:tc>
        <w:tc>
          <w:tcPr>
            <w:tcW w:w="1260" w:type="dxa"/>
            <w:tcBorders>
              <w:top w:val="double" w:sz="4" w:space="0" w:color="auto"/>
              <w:bottom w:val="double" w:sz="4" w:space="0" w:color="auto"/>
              <w:right w:val="double" w:sz="4" w:space="0" w:color="auto"/>
            </w:tcBorders>
            <w:shd w:val="clear" w:color="auto" w:fill="auto"/>
          </w:tcPr>
          <w:p w:rsidR="00DB5DB6" w:rsidRDefault="00DB5DB6">
            <w:pPr>
              <w:pStyle w:val="Header"/>
              <w:tabs>
                <w:tab w:val="clear" w:pos="4320"/>
                <w:tab w:val="clear" w:pos="8640"/>
              </w:tabs>
              <w:spacing w:before="20" w:after="20"/>
              <w:rPr>
                <w:b/>
                <w:bCs/>
              </w:rPr>
            </w:pPr>
            <w:r>
              <w:rPr>
                <w:b/>
                <w:bCs/>
              </w:rPr>
              <w:t>VOC</w:t>
            </w:r>
          </w:p>
        </w:tc>
      </w:tr>
      <w:tr w:rsidR="00DB5DB6">
        <w:tblPrEx>
          <w:tblBorders>
            <w:top w:val="double" w:sz="4" w:space="0" w:color="auto"/>
            <w:left w:val="double" w:sz="4" w:space="0" w:color="auto"/>
            <w:bottom w:val="double" w:sz="4" w:space="0" w:color="auto"/>
            <w:right w:val="double" w:sz="4" w:space="0" w:color="auto"/>
          </w:tblBorders>
        </w:tblPrEx>
        <w:trPr>
          <w:cantSplit/>
        </w:trPr>
        <w:tc>
          <w:tcPr>
            <w:tcW w:w="1800" w:type="dxa"/>
          </w:tcPr>
          <w:p w:rsidR="00DB5DB6" w:rsidRDefault="00DB5DB6">
            <w:pPr>
              <w:suppressAutoHyphens/>
              <w:rPr>
                <w:color w:val="0000FF"/>
                <w:spacing w:val="-3"/>
              </w:rPr>
            </w:pPr>
            <w:r>
              <w:rPr>
                <w:color w:val="0000FF"/>
                <w:spacing w:val="-3"/>
              </w:rPr>
              <w:t>C-xxxx-x-x</w:t>
            </w:r>
          </w:p>
        </w:tc>
        <w:tc>
          <w:tcPr>
            <w:tcW w:w="1260" w:type="dxa"/>
          </w:tcPr>
          <w:p w:rsidR="00DB5DB6" w:rsidRDefault="00DB5DB6">
            <w:pPr>
              <w:tabs>
                <w:tab w:val="left" w:pos="-720"/>
              </w:tabs>
              <w:suppressAutoHyphens/>
              <w:ind w:left="-108" w:right="-124"/>
              <w:rPr>
                <w:color w:val="0000FF"/>
              </w:rPr>
            </w:pPr>
            <w:r>
              <w:rPr>
                <w:color w:val="0000FF"/>
              </w:rPr>
              <w:t>0</w:t>
            </w:r>
          </w:p>
        </w:tc>
        <w:tc>
          <w:tcPr>
            <w:tcW w:w="1260" w:type="dxa"/>
          </w:tcPr>
          <w:p w:rsidR="00DB5DB6" w:rsidRDefault="00DB5DB6">
            <w:pPr>
              <w:tabs>
                <w:tab w:val="left" w:pos="-720"/>
              </w:tabs>
              <w:suppressAutoHyphens/>
              <w:ind w:left="-108" w:right="-124"/>
              <w:rPr>
                <w:color w:val="0000FF"/>
              </w:rPr>
            </w:pPr>
            <w:r>
              <w:rPr>
                <w:color w:val="0000FF"/>
              </w:rPr>
              <w:t>0</w:t>
            </w:r>
          </w:p>
        </w:tc>
        <w:tc>
          <w:tcPr>
            <w:tcW w:w="1350" w:type="dxa"/>
          </w:tcPr>
          <w:p w:rsidR="00DB5DB6" w:rsidRDefault="00DB5DB6">
            <w:pPr>
              <w:tabs>
                <w:tab w:val="left" w:pos="-720"/>
              </w:tabs>
              <w:suppressAutoHyphens/>
              <w:ind w:left="-108" w:right="-124"/>
              <w:rPr>
                <w:color w:val="0000FF"/>
              </w:rPr>
            </w:pPr>
            <w:r>
              <w:rPr>
                <w:color w:val="0000FF"/>
              </w:rPr>
              <w:t>0</w:t>
            </w:r>
          </w:p>
        </w:tc>
        <w:tc>
          <w:tcPr>
            <w:tcW w:w="1260" w:type="dxa"/>
          </w:tcPr>
          <w:p w:rsidR="00DB5DB6" w:rsidRDefault="00DB5DB6">
            <w:pPr>
              <w:tabs>
                <w:tab w:val="left" w:pos="-720"/>
              </w:tabs>
              <w:suppressAutoHyphens/>
              <w:ind w:left="-108" w:right="-124"/>
              <w:rPr>
                <w:color w:val="0000FF"/>
              </w:rPr>
            </w:pPr>
            <w:r>
              <w:rPr>
                <w:color w:val="0000FF"/>
              </w:rPr>
              <w:t>0</w:t>
            </w:r>
          </w:p>
        </w:tc>
        <w:tc>
          <w:tcPr>
            <w:tcW w:w="1260" w:type="dxa"/>
          </w:tcPr>
          <w:p w:rsidR="00DB5DB6" w:rsidRDefault="00DB5DB6">
            <w:pPr>
              <w:tabs>
                <w:tab w:val="left" w:pos="-720"/>
              </w:tabs>
              <w:suppressAutoHyphens/>
              <w:ind w:left="-108" w:right="-124"/>
              <w:rPr>
                <w:color w:val="0000FF"/>
              </w:rPr>
            </w:pPr>
            <w:r>
              <w:rPr>
                <w:color w:val="0000FF"/>
              </w:rPr>
              <w:t>0</w:t>
            </w:r>
          </w:p>
        </w:tc>
      </w:tr>
      <w:tr w:rsidR="00DB5DB6">
        <w:tblPrEx>
          <w:tblBorders>
            <w:top w:val="double" w:sz="4" w:space="0" w:color="auto"/>
            <w:left w:val="double" w:sz="4" w:space="0" w:color="auto"/>
            <w:bottom w:val="double" w:sz="4" w:space="0" w:color="auto"/>
            <w:right w:val="double" w:sz="4" w:space="0" w:color="auto"/>
          </w:tblBorders>
        </w:tblPrEx>
        <w:trPr>
          <w:cantSplit/>
        </w:trPr>
        <w:tc>
          <w:tcPr>
            <w:tcW w:w="1800" w:type="dxa"/>
            <w:tcBorders>
              <w:top w:val="single" w:sz="18" w:space="0" w:color="auto"/>
              <w:bottom w:val="double" w:sz="4" w:space="0" w:color="auto"/>
            </w:tcBorders>
          </w:tcPr>
          <w:p w:rsidR="00DB5DB6" w:rsidRDefault="00DB5DB6">
            <w:pPr>
              <w:tabs>
                <w:tab w:val="left" w:pos="-720"/>
              </w:tabs>
              <w:suppressAutoHyphens/>
              <w:ind w:right="-360"/>
            </w:pPr>
            <w:r>
              <w:t>Total</w:t>
            </w:r>
          </w:p>
        </w:tc>
        <w:tc>
          <w:tcPr>
            <w:tcW w:w="1260" w:type="dxa"/>
            <w:tcBorders>
              <w:top w:val="single" w:sz="18" w:space="0" w:color="auto"/>
              <w:bottom w:val="double" w:sz="4" w:space="0" w:color="auto"/>
            </w:tcBorders>
          </w:tcPr>
          <w:p w:rsidR="00DB5DB6" w:rsidRDefault="00DB5DB6">
            <w:pPr>
              <w:tabs>
                <w:tab w:val="left" w:pos="-720"/>
              </w:tabs>
              <w:suppressAutoHyphens/>
              <w:ind w:left="-108" w:right="-124"/>
              <w:rPr>
                <w:color w:val="0000FF"/>
              </w:rPr>
            </w:pPr>
            <w:r>
              <w:rPr>
                <w:color w:val="0000FF"/>
              </w:rPr>
              <w:t>0</w:t>
            </w:r>
          </w:p>
        </w:tc>
        <w:tc>
          <w:tcPr>
            <w:tcW w:w="1260" w:type="dxa"/>
            <w:tcBorders>
              <w:top w:val="single" w:sz="18" w:space="0" w:color="auto"/>
              <w:bottom w:val="double" w:sz="4" w:space="0" w:color="auto"/>
            </w:tcBorders>
          </w:tcPr>
          <w:p w:rsidR="00DB5DB6" w:rsidRDefault="00DB5DB6">
            <w:pPr>
              <w:tabs>
                <w:tab w:val="left" w:pos="-720"/>
              </w:tabs>
              <w:suppressAutoHyphens/>
              <w:ind w:left="-108" w:right="-124"/>
              <w:rPr>
                <w:color w:val="0000FF"/>
              </w:rPr>
            </w:pPr>
            <w:r>
              <w:rPr>
                <w:color w:val="0000FF"/>
              </w:rPr>
              <w:t>0</w:t>
            </w:r>
          </w:p>
        </w:tc>
        <w:tc>
          <w:tcPr>
            <w:tcW w:w="1350" w:type="dxa"/>
            <w:tcBorders>
              <w:top w:val="single" w:sz="18" w:space="0" w:color="auto"/>
              <w:bottom w:val="double" w:sz="4" w:space="0" w:color="auto"/>
            </w:tcBorders>
          </w:tcPr>
          <w:p w:rsidR="00DB5DB6" w:rsidRDefault="00DB5DB6">
            <w:pPr>
              <w:tabs>
                <w:tab w:val="left" w:pos="-720"/>
              </w:tabs>
              <w:suppressAutoHyphens/>
              <w:ind w:left="-108" w:right="-124"/>
              <w:rPr>
                <w:color w:val="0000FF"/>
              </w:rPr>
            </w:pPr>
            <w:r>
              <w:rPr>
                <w:color w:val="0000FF"/>
              </w:rPr>
              <w:t>0</w:t>
            </w:r>
          </w:p>
        </w:tc>
        <w:tc>
          <w:tcPr>
            <w:tcW w:w="1260" w:type="dxa"/>
            <w:tcBorders>
              <w:top w:val="single" w:sz="18" w:space="0" w:color="auto"/>
              <w:bottom w:val="double" w:sz="4" w:space="0" w:color="auto"/>
            </w:tcBorders>
          </w:tcPr>
          <w:p w:rsidR="00DB5DB6" w:rsidRDefault="00DB5DB6">
            <w:pPr>
              <w:tabs>
                <w:tab w:val="left" w:pos="-720"/>
              </w:tabs>
              <w:suppressAutoHyphens/>
              <w:ind w:left="-108" w:right="-124"/>
              <w:rPr>
                <w:color w:val="0000FF"/>
              </w:rPr>
            </w:pPr>
            <w:r>
              <w:rPr>
                <w:color w:val="0000FF"/>
              </w:rPr>
              <w:t>0</w:t>
            </w:r>
          </w:p>
        </w:tc>
        <w:tc>
          <w:tcPr>
            <w:tcW w:w="1260" w:type="dxa"/>
            <w:tcBorders>
              <w:top w:val="single" w:sz="18" w:space="0" w:color="auto"/>
              <w:bottom w:val="double" w:sz="4" w:space="0" w:color="auto"/>
            </w:tcBorders>
          </w:tcPr>
          <w:p w:rsidR="00DB5DB6" w:rsidRDefault="00DB5DB6">
            <w:pPr>
              <w:tabs>
                <w:tab w:val="left" w:pos="-720"/>
              </w:tabs>
              <w:suppressAutoHyphens/>
              <w:ind w:left="-108" w:right="-124"/>
              <w:rPr>
                <w:color w:val="0000FF"/>
              </w:rPr>
            </w:pPr>
            <w:r>
              <w:rPr>
                <w:color w:val="0000FF"/>
              </w:rPr>
              <w:t>0</w:t>
            </w:r>
          </w:p>
        </w:tc>
      </w:tr>
    </w:tbl>
    <w:p w:rsidR="00DB5DB6" w:rsidRDefault="00DB5DB6">
      <w:pPr>
        <w:suppressAutoHyphens/>
        <w:ind w:firstLine="720"/>
        <w:jc w:val="both"/>
        <w:rPr>
          <w:spacing w:val="-3"/>
        </w:rPr>
      </w:pPr>
    </w:p>
    <w:p w:rsidR="00DB5DB6" w:rsidRDefault="00DB5DB6">
      <w:pPr>
        <w:pStyle w:val="Heading3"/>
      </w:pPr>
      <w:r>
        <w:rPr>
          <w:spacing w:val="-3"/>
        </w:rPr>
        <w:t xml:space="preserve">Post-Project </w:t>
      </w:r>
      <w:r>
        <w:t>Stationary Source Potential to Emit (SSPE2)</w:t>
      </w:r>
    </w:p>
    <w:p w:rsidR="00DB5DB6" w:rsidRDefault="00DB5DB6">
      <w:pPr>
        <w:suppressAutoHyphens/>
        <w:jc w:val="both"/>
        <w:rPr>
          <w:b/>
          <w:bCs/>
          <w:spacing w:val="-3"/>
        </w:rPr>
      </w:pPr>
    </w:p>
    <w:p w:rsidR="00DB5DB6" w:rsidRDefault="00DB5DB6">
      <w:pPr>
        <w:suppressAutoHyphens/>
        <w:ind w:left="720"/>
      </w:pPr>
      <w:r>
        <w:rPr>
          <w:spacing w:val="-3"/>
        </w:rPr>
        <w:lastRenderedPageBreak/>
        <w:t xml:space="preserve">Pursuant to Section 4.10 </w:t>
      </w:r>
      <w:r>
        <w:t xml:space="preserve">of District Rule 2201, the Post-project Stationary Source Potential to Emit (SSPE1) is the Potential to Emit (PE) from all units with valid Authorities to Construct (ATC) or Permits to Operate (PTO) at the Stationary Source and the quantity of emission reduction credits (ERC) which have been banked since September 19, 1991 for Actual Emissions Reductions that have occurred at the source, and which have not been used on-site.  </w:t>
      </w:r>
      <w:r>
        <w:rPr>
          <w:spacing w:val="-3"/>
        </w:rPr>
        <w:t>The Post-project Stationary Source Potential to Emit (SSPE2) is presented in the following table:</w:t>
      </w:r>
    </w:p>
    <w:p w:rsidR="00DB5DB6" w:rsidRDefault="00DB5DB6">
      <w:pPr>
        <w:ind w:left="1080"/>
      </w:pPr>
    </w:p>
    <w:tbl>
      <w:tblPr>
        <w:tblW w:w="819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260"/>
        <w:gridCol w:w="1260"/>
        <w:gridCol w:w="1350"/>
        <w:gridCol w:w="1260"/>
        <w:gridCol w:w="1260"/>
      </w:tblGrid>
      <w:tr w:rsidR="00DB5DB6" w:rsidTr="00D917EC">
        <w:trPr>
          <w:cantSplit/>
          <w:trHeight w:val="443"/>
        </w:trPr>
        <w:tc>
          <w:tcPr>
            <w:tcW w:w="8190" w:type="dxa"/>
            <w:gridSpan w:val="6"/>
            <w:tcBorders>
              <w:top w:val="double" w:sz="4" w:space="0" w:color="auto"/>
              <w:left w:val="double" w:sz="4" w:space="0" w:color="auto"/>
              <w:bottom w:val="double" w:sz="4" w:space="0" w:color="auto"/>
              <w:right w:val="double" w:sz="4" w:space="0" w:color="auto"/>
            </w:tcBorders>
            <w:shd w:val="clear" w:color="auto" w:fill="auto"/>
            <w:vAlign w:val="center"/>
          </w:tcPr>
          <w:p w:rsidR="00DB5DB6" w:rsidRDefault="00DB5DB6">
            <w:pPr>
              <w:jc w:val="center"/>
              <w:rPr>
                <w:b/>
                <w:bCs/>
              </w:rPr>
            </w:pPr>
            <w:r w:rsidRPr="00EE39D6">
              <w:rPr>
                <w:b/>
              </w:rPr>
              <w:t>Post Project Stationary Source Potential to Emit [SSPE2] (lb/year)</w:t>
            </w:r>
          </w:p>
        </w:tc>
      </w:tr>
      <w:tr w:rsidR="00DB5DB6" w:rsidTr="00D917EC">
        <w:tc>
          <w:tcPr>
            <w:tcW w:w="1800" w:type="dxa"/>
            <w:tcBorders>
              <w:top w:val="double" w:sz="4" w:space="0" w:color="auto"/>
              <w:left w:val="double" w:sz="4" w:space="0" w:color="auto"/>
              <w:bottom w:val="double" w:sz="4" w:space="0" w:color="auto"/>
            </w:tcBorders>
            <w:shd w:val="clear" w:color="auto" w:fill="auto"/>
          </w:tcPr>
          <w:p w:rsidR="00DB5DB6" w:rsidRDefault="00DB5DB6">
            <w:pPr>
              <w:pStyle w:val="Header"/>
              <w:tabs>
                <w:tab w:val="clear" w:pos="4320"/>
                <w:tab w:val="clear" w:pos="8640"/>
              </w:tabs>
              <w:spacing w:before="20" w:after="20"/>
              <w:rPr>
                <w:b/>
                <w:bCs/>
              </w:rPr>
            </w:pPr>
            <w:r>
              <w:rPr>
                <w:b/>
                <w:bCs/>
              </w:rPr>
              <w:t>Permit #</w:t>
            </w:r>
          </w:p>
        </w:tc>
        <w:tc>
          <w:tcPr>
            <w:tcW w:w="1260" w:type="dxa"/>
            <w:tcBorders>
              <w:top w:val="double" w:sz="4" w:space="0" w:color="auto"/>
              <w:bottom w:val="double" w:sz="4" w:space="0" w:color="auto"/>
            </w:tcBorders>
            <w:shd w:val="clear" w:color="auto" w:fill="auto"/>
          </w:tcPr>
          <w:p w:rsidR="00DB5DB6" w:rsidRDefault="00DB5DB6">
            <w:pPr>
              <w:pStyle w:val="Header"/>
              <w:tabs>
                <w:tab w:val="clear" w:pos="4320"/>
                <w:tab w:val="clear" w:pos="8640"/>
              </w:tabs>
              <w:spacing w:before="20" w:after="20"/>
              <w:rPr>
                <w:b/>
                <w:bCs/>
              </w:rPr>
            </w:pPr>
            <w:r>
              <w:rPr>
                <w:b/>
                <w:bCs/>
              </w:rPr>
              <w:t>NO</w:t>
            </w:r>
            <w:r>
              <w:rPr>
                <w:b/>
                <w:bCs/>
                <w:vertAlign w:val="subscript"/>
              </w:rPr>
              <w:t>X</w:t>
            </w:r>
          </w:p>
        </w:tc>
        <w:tc>
          <w:tcPr>
            <w:tcW w:w="1260" w:type="dxa"/>
            <w:tcBorders>
              <w:top w:val="double" w:sz="4" w:space="0" w:color="auto"/>
              <w:bottom w:val="double" w:sz="4" w:space="0" w:color="auto"/>
            </w:tcBorders>
            <w:shd w:val="clear" w:color="auto" w:fill="auto"/>
          </w:tcPr>
          <w:p w:rsidR="00DB5DB6" w:rsidRDefault="00DB5DB6">
            <w:pPr>
              <w:pStyle w:val="Header"/>
              <w:tabs>
                <w:tab w:val="clear" w:pos="4320"/>
                <w:tab w:val="clear" w:pos="8640"/>
              </w:tabs>
              <w:spacing w:before="20" w:after="20"/>
              <w:rPr>
                <w:b/>
                <w:bCs/>
              </w:rPr>
            </w:pPr>
            <w:r>
              <w:rPr>
                <w:b/>
                <w:bCs/>
              </w:rPr>
              <w:t>SOx</w:t>
            </w:r>
          </w:p>
        </w:tc>
        <w:tc>
          <w:tcPr>
            <w:tcW w:w="1350" w:type="dxa"/>
            <w:tcBorders>
              <w:top w:val="double" w:sz="4" w:space="0" w:color="auto"/>
              <w:bottom w:val="double" w:sz="4" w:space="0" w:color="auto"/>
            </w:tcBorders>
            <w:shd w:val="clear" w:color="auto" w:fill="auto"/>
          </w:tcPr>
          <w:p w:rsidR="00DB5DB6" w:rsidRDefault="00DB5DB6">
            <w:pPr>
              <w:pStyle w:val="Header"/>
              <w:tabs>
                <w:tab w:val="clear" w:pos="4320"/>
                <w:tab w:val="clear" w:pos="8640"/>
              </w:tabs>
              <w:spacing w:before="20" w:after="20"/>
              <w:rPr>
                <w:b/>
                <w:bCs/>
              </w:rPr>
            </w:pPr>
            <w:r>
              <w:rPr>
                <w:b/>
                <w:bCs/>
              </w:rPr>
              <w:t>PM</w:t>
            </w:r>
            <w:r>
              <w:rPr>
                <w:b/>
                <w:bCs/>
                <w:vertAlign w:val="subscript"/>
              </w:rPr>
              <w:t>10</w:t>
            </w:r>
          </w:p>
        </w:tc>
        <w:tc>
          <w:tcPr>
            <w:tcW w:w="1260" w:type="dxa"/>
            <w:tcBorders>
              <w:top w:val="double" w:sz="4" w:space="0" w:color="auto"/>
              <w:bottom w:val="double" w:sz="4" w:space="0" w:color="auto"/>
            </w:tcBorders>
            <w:shd w:val="clear" w:color="auto" w:fill="auto"/>
          </w:tcPr>
          <w:p w:rsidR="00DB5DB6" w:rsidRDefault="00DB5DB6">
            <w:pPr>
              <w:pStyle w:val="Header"/>
              <w:tabs>
                <w:tab w:val="clear" w:pos="4320"/>
                <w:tab w:val="clear" w:pos="8640"/>
              </w:tabs>
              <w:spacing w:before="20" w:after="20"/>
              <w:rPr>
                <w:b/>
                <w:bCs/>
              </w:rPr>
            </w:pPr>
            <w:r>
              <w:rPr>
                <w:b/>
                <w:bCs/>
              </w:rPr>
              <w:t>CO</w:t>
            </w:r>
          </w:p>
        </w:tc>
        <w:tc>
          <w:tcPr>
            <w:tcW w:w="1260" w:type="dxa"/>
            <w:tcBorders>
              <w:top w:val="double" w:sz="4" w:space="0" w:color="auto"/>
              <w:bottom w:val="double" w:sz="4" w:space="0" w:color="auto"/>
              <w:right w:val="double" w:sz="4" w:space="0" w:color="auto"/>
            </w:tcBorders>
            <w:shd w:val="clear" w:color="auto" w:fill="auto"/>
          </w:tcPr>
          <w:p w:rsidR="00DB5DB6" w:rsidRDefault="00DB5DB6">
            <w:pPr>
              <w:pStyle w:val="Header"/>
              <w:tabs>
                <w:tab w:val="clear" w:pos="4320"/>
                <w:tab w:val="clear" w:pos="8640"/>
              </w:tabs>
              <w:spacing w:before="20" w:after="20"/>
              <w:rPr>
                <w:b/>
                <w:bCs/>
              </w:rPr>
            </w:pPr>
            <w:r>
              <w:rPr>
                <w:b/>
                <w:bCs/>
              </w:rPr>
              <w:t>VOC</w:t>
            </w:r>
          </w:p>
        </w:tc>
      </w:tr>
      <w:tr w:rsidR="00DB5DB6">
        <w:tblPrEx>
          <w:tblBorders>
            <w:top w:val="double" w:sz="4" w:space="0" w:color="auto"/>
            <w:left w:val="double" w:sz="4" w:space="0" w:color="auto"/>
            <w:bottom w:val="double" w:sz="4" w:space="0" w:color="auto"/>
            <w:right w:val="double" w:sz="4" w:space="0" w:color="auto"/>
          </w:tblBorders>
        </w:tblPrEx>
        <w:trPr>
          <w:cantSplit/>
        </w:trPr>
        <w:tc>
          <w:tcPr>
            <w:tcW w:w="1800" w:type="dxa"/>
          </w:tcPr>
          <w:p w:rsidR="00DB5DB6" w:rsidRDefault="00DB5DB6">
            <w:pPr>
              <w:suppressAutoHyphens/>
              <w:rPr>
                <w:color w:val="0000FF"/>
                <w:spacing w:val="-3"/>
              </w:rPr>
            </w:pPr>
            <w:r>
              <w:rPr>
                <w:color w:val="0000FF"/>
                <w:spacing w:val="-3"/>
              </w:rPr>
              <w:t>C-xxxx-x-x</w:t>
            </w:r>
          </w:p>
        </w:tc>
        <w:tc>
          <w:tcPr>
            <w:tcW w:w="1260" w:type="dxa"/>
          </w:tcPr>
          <w:p w:rsidR="00DB5DB6" w:rsidRDefault="00DB5DB6">
            <w:pPr>
              <w:tabs>
                <w:tab w:val="left" w:pos="-720"/>
              </w:tabs>
              <w:suppressAutoHyphens/>
              <w:ind w:left="-108" w:right="-124"/>
              <w:rPr>
                <w:color w:val="0000FF"/>
              </w:rPr>
            </w:pPr>
            <w:r>
              <w:rPr>
                <w:color w:val="0000FF"/>
              </w:rPr>
              <w:t>0</w:t>
            </w:r>
          </w:p>
        </w:tc>
        <w:tc>
          <w:tcPr>
            <w:tcW w:w="1260" w:type="dxa"/>
          </w:tcPr>
          <w:p w:rsidR="00DB5DB6" w:rsidRDefault="00DB5DB6">
            <w:pPr>
              <w:tabs>
                <w:tab w:val="left" w:pos="-720"/>
              </w:tabs>
              <w:suppressAutoHyphens/>
              <w:ind w:left="-108" w:right="-124"/>
              <w:rPr>
                <w:color w:val="0000FF"/>
              </w:rPr>
            </w:pPr>
            <w:r>
              <w:rPr>
                <w:color w:val="0000FF"/>
              </w:rPr>
              <w:t>0</w:t>
            </w:r>
          </w:p>
        </w:tc>
        <w:tc>
          <w:tcPr>
            <w:tcW w:w="1350" w:type="dxa"/>
          </w:tcPr>
          <w:p w:rsidR="00DB5DB6" w:rsidRDefault="00DB5DB6">
            <w:pPr>
              <w:tabs>
                <w:tab w:val="left" w:pos="-720"/>
              </w:tabs>
              <w:suppressAutoHyphens/>
              <w:ind w:left="-108" w:right="-124"/>
              <w:rPr>
                <w:color w:val="0000FF"/>
              </w:rPr>
            </w:pPr>
            <w:r>
              <w:rPr>
                <w:color w:val="0000FF"/>
              </w:rPr>
              <w:t>0</w:t>
            </w:r>
          </w:p>
        </w:tc>
        <w:tc>
          <w:tcPr>
            <w:tcW w:w="1260" w:type="dxa"/>
          </w:tcPr>
          <w:p w:rsidR="00DB5DB6" w:rsidRDefault="00DB5DB6">
            <w:pPr>
              <w:tabs>
                <w:tab w:val="left" w:pos="-720"/>
              </w:tabs>
              <w:suppressAutoHyphens/>
              <w:ind w:left="-108" w:right="-124"/>
              <w:rPr>
                <w:color w:val="0000FF"/>
              </w:rPr>
            </w:pPr>
            <w:r>
              <w:rPr>
                <w:color w:val="0000FF"/>
              </w:rPr>
              <w:t>0</w:t>
            </w:r>
          </w:p>
        </w:tc>
        <w:tc>
          <w:tcPr>
            <w:tcW w:w="1260" w:type="dxa"/>
          </w:tcPr>
          <w:p w:rsidR="00DB5DB6" w:rsidRDefault="00DB5DB6">
            <w:pPr>
              <w:tabs>
                <w:tab w:val="left" w:pos="-720"/>
              </w:tabs>
              <w:suppressAutoHyphens/>
              <w:ind w:left="-108" w:right="-124"/>
              <w:rPr>
                <w:color w:val="0000FF"/>
              </w:rPr>
            </w:pPr>
            <w:r>
              <w:rPr>
                <w:color w:val="0000FF"/>
              </w:rPr>
              <w:t>0</w:t>
            </w:r>
          </w:p>
        </w:tc>
      </w:tr>
      <w:tr w:rsidR="00DB5DB6">
        <w:tblPrEx>
          <w:tblBorders>
            <w:top w:val="double" w:sz="4" w:space="0" w:color="auto"/>
            <w:left w:val="double" w:sz="4" w:space="0" w:color="auto"/>
            <w:bottom w:val="double" w:sz="4" w:space="0" w:color="auto"/>
            <w:right w:val="double" w:sz="4" w:space="0" w:color="auto"/>
          </w:tblBorders>
        </w:tblPrEx>
        <w:trPr>
          <w:cantSplit/>
        </w:trPr>
        <w:tc>
          <w:tcPr>
            <w:tcW w:w="1800" w:type="dxa"/>
            <w:tcBorders>
              <w:top w:val="single" w:sz="18" w:space="0" w:color="auto"/>
              <w:bottom w:val="double" w:sz="4" w:space="0" w:color="auto"/>
            </w:tcBorders>
          </w:tcPr>
          <w:p w:rsidR="00DB5DB6" w:rsidRDefault="00DB5DB6">
            <w:pPr>
              <w:tabs>
                <w:tab w:val="left" w:pos="-720"/>
              </w:tabs>
              <w:suppressAutoHyphens/>
              <w:ind w:right="-360"/>
            </w:pPr>
            <w:r>
              <w:t>Total</w:t>
            </w:r>
          </w:p>
        </w:tc>
        <w:tc>
          <w:tcPr>
            <w:tcW w:w="1260" w:type="dxa"/>
            <w:tcBorders>
              <w:top w:val="single" w:sz="18" w:space="0" w:color="auto"/>
              <w:bottom w:val="double" w:sz="4" w:space="0" w:color="auto"/>
            </w:tcBorders>
          </w:tcPr>
          <w:p w:rsidR="00DB5DB6" w:rsidRDefault="00DB5DB6">
            <w:pPr>
              <w:tabs>
                <w:tab w:val="left" w:pos="-720"/>
              </w:tabs>
              <w:suppressAutoHyphens/>
              <w:ind w:left="-108" w:right="-124"/>
              <w:rPr>
                <w:color w:val="0000FF"/>
              </w:rPr>
            </w:pPr>
            <w:r>
              <w:rPr>
                <w:color w:val="0000FF"/>
              </w:rPr>
              <w:t>0</w:t>
            </w:r>
          </w:p>
        </w:tc>
        <w:tc>
          <w:tcPr>
            <w:tcW w:w="1260" w:type="dxa"/>
            <w:tcBorders>
              <w:top w:val="single" w:sz="18" w:space="0" w:color="auto"/>
              <w:bottom w:val="double" w:sz="4" w:space="0" w:color="auto"/>
            </w:tcBorders>
          </w:tcPr>
          <w:p w:rsidR="00DB5DB6" w:rsidRDefault="00DB5DB6">
            <w:pPr>
              <w:tabs>
                <w:tab w:val="left" w:pos="-720"/>
              </w:tabs>
              <w:suppressAutoHyphens/>
              <w:ind w:left="-108" w:right="-124"/>
              <w:rPr>
                <w:color w:val="0000FF"/>
              </w:rPr>
            </w:pPr>
            <w:r>
              <w:rPr>
                <w:color w:val="0000FF"/>
              </w:rPr>
              <w:t>0</w:t>
            </w:r>
          </w:p>
        </w:tc>
        <w:tc>
          <w:tcPr>
            <w:tcW w:w="1350" w:type="dxa"/>
            <w:tcBorders>
              <w:top w:val="single" w:sz="18" w:space="0" w:color="auto"/>
              <w:bottom w:val="double" w:sz="4" w:space="0" w:color="auto"/>
            </w:tcBorders>
          </w:tcPr>
          <w:p w:rsidR="00DB5DB6" w:rsidRDefault="00DB5DB6">
            <w:pPr>
              <w:tabs>
                <w:tab w:val="left" w:pos="-720"/>
              </w:tabs>
              <w:suppressAutoHyphens/>
              <w:ind w:left="-108" w:right="-124"/>
              <w:rPr>
                <w:color w:val="0000FF"/>
              </w:rPr>
            </w:pPr>
            <w:r>
              <w:rPr>
                <w:color w:val="0000FF"/>
              </w:rPr>
              <w:t>0</w:t>
            </w:r>
          </w:p>
        </w:tc>
        <w:tc>
          <w:tcPr>
            <w:tcW w:w="1260" w:type="dxa"/>
            <w:tcBorders>
              <w:top w:val="single" w:sz="18" w:space="0" w:color="auto"/>
              <w:bottom w:val="double" w:sz="4" w:space="0" w:color="auto"/>
            </w:tcBorders>
          </w:tcPr>
          <w:p w:rsidR="00DB5DB6" w:rsidRDefault="00DB5DB6">
            <w:pPr>
              <w:tabs>
                <w:tab w:val="left" w:pos="-720"/>
              </w:tabs>
              <w:suppressAutoHyphens/>
              <w:ind w:left="-108" w:right="-124"/>
              <w:rPr>
                <w:color w:val="0000FF"/>
              </w:rPr>
            </w:pPr>
            <w:r>
              <w:rPr>
                <w:color w:val="0000FF"/>
              </w:rPr>
              <w:t>0</w:t>
            </w:r>
          </w:p>
        </w:tc>
        <w:tc>
          <w:tcPr>
            <w:tcW w:w="1260" w:type="dxa"/>
            <w:tcBorders>
              <w:top w:val="single" w:sz="18" w:space="0" w:color="auto"/>
              <w:bottom w:val="double" w:sz="4" w:space="0" w:color="auto"/>
            </w:tcBorders>
          </w:tcPr>
          <w:p w:rsidR="00DB5DB6" w:rsidRDefault="00DB5DB6">
            <w:pPr>
              <w:tabs>
                <w:tab w:val="left" w:pos="-720"/>
              </w:tabs>
              <w:suppressAutoHyphens/>
              <w:ind w:left="-108" w:right="-124"/>
              <w:rPr>
                <w:color w:val="0000FF"/>
              </w:rPr>
            </w:pPr>
            <w:r>
              <w:rPr>
                <w:color w:val="0000FF"/>
              </w:rPr>
              <w:t>0</w:t>
            </w:r>
          </w:p>
        </w:tc>
      </w:tr>
    </w:tbl>
    <w:p w:rsidR="00DB5DB6" w:rsidRDefault="00DB5DB6"/>
    <w:p w:rsidR="00DB5DB6" w:rsidRDefault="00DB5DB6">
      <w:pPr>
        <w:pStyle w:val="Heading3"/>
      </w:pPr>
      <w:r>
        <w:t>Major Source Determination</w:t>
      </w:r>
    </w:p>
    <w:p w:rsidR="00113C80" w:rsidRDefault="00113C80" w:rsidP="00113C80"/>
    <w:p w:rsidR="00113C80" w:rsidRPr="00066C21" w:rsidRDefault="00113C80" w:rsidP="00113C80">
      <w:pPr>
        <w:ind w:left="720"/>
        <w:jc w:val="both"/>
        <w:rPr>
          <w:b/>
          <w:u w:val="single"/>
        </w:rPr>
      </w:pPr>
      <w:r w:rsidRPr="00066C21">
        <w:rPr>
          <w:b/>
          <w:u w:val="single"/>
        </w:rPr>
        <w:t>Rule 2201 Major Source Determination:</w:t>
      </w:r>
    </w:p>
    <w:p w:rsidR="00DB5DB6" w:rsidRDefault="00DB5DB6">
      <w:pPr>
        <w:suppressAutoHyphens/>
        <w:jc w:val="both"/>
        <w:rPr>
          <w:b/>
          <w:spacing w:val="-3"/>
        </w:rPr>
      </w:pPr>
    </w:p>
    <w:p w:rsidR="00DB5DB6" w:rsidRDefault="00DB5DB6">
      <w:pPr>
        <w:ind w:left="720"/>
        <w:rPr>
          <w:bCs/>
          <w:iCs/>
        </w:rPr>
      </w:pPr>
      <w:r>
        <w:rPr>
          <w:bCs/>
          <w:iCs/>
        </w:rPr>
        <w:t>Pursuant to Section 3.24 of District Rule 2201, a Major Source is a stationary source with post-project emissions or a Post Project Stationary Source Potential to Emit (SSPE2), equal to or exceeding one or more of the following threshold values.  However, Section 3.24.2 states, “for the purposes of determining major source status, the SSPE2 shall not include the quantity of emission reduction credits (ERC) which have been banked since September 19, 1991 for Actual Emissions Reductions that have occurred at the source, and which have not been used on-site.”</w:t>
      </w:r>
    </w:p>
    <w:p w:rsidR="00DB5DB6" w:rsidRDefault="00DB5D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both"/>
      </w:pPr>
    </w:p>
    <w:tbl>
      <w:tblPr>
        <w:tblW w:w="8640" w:type="dxa"/>
        <w:tblInd w:w="15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80"/>
        <w:gridCol w:w="1152"/>
        <w:gridCol w:w="1152"/>
        <w:gridCol w:w="1152"/>
        <w:gridCol w:w="1152"/>
        <w:gridCol w:w="1152"/>
      </w:tblGrid>
      <w:tr w:rsidR="00DB5DB6" w:rsidTr="00D917EC">
        <w:trPr>
          <w:cantSplit/>
        </w:trPr>
        <w:tc>
          <w:tcPr>
            <w:tcW w:w="8640" w:type="dxa"/>
            <w:gridSpan w:val="6"/>
            <w:tcBorders>
              <w:top w:val="double" w:sz="6" w:space="0" w:color="000000"/>
              <w:left w:val="double" w:sz="6" w:space="0" w:color="000000"/>
              <w:right w:val="double" w:sz="6" w:space="0" w:color="000000"/>
            </w:tcBorders>
            <w:shd w:val="clear" w:color="auto" w:fill="auto"/>
          </w:tcPr>
          <w:p w:rsidR="00DB5DB6" w:rsidRDefault="00DB5DB6">
            <w:pPr>
              <w:jc w:val="center"/>
              <w:rPr>
                <w:b/>
                <w:bCs/>
              </w:rPr>
            </w:pPr>
            <w:r>
              <w:rPr>
                <w:b/>
                <w:bCs/>
              </w:rPr>
              <w:t>Major Source Determination (lb/year)</w:t>
            </w:r>
          </w:p>
        </w:tc>
      </w:tr>
      <w:tr w:rsidR="00DB5DB6" w:rsidTr="00D917EC">
        <w:tc>
          <w:tcPr>
            <w:tcW w:w="2880" w:type="dxa"/>
            <w:tcBorders>
              <w:top w:val="double" w:sz="6" w:space="0" w:color="000000"/>
              <w:left w:val="double" w:sz="6" w:space="0" w:color="000000"/>
              <w:right w:val="double" w:sz="6" w:space="0" w:color="000000"/>
            </w:tcBorders>
            <w:shd w:val="clear" w:color="auto" w:fill="auto"/>
            <w:vAlign w:val="center"/>
          </w:tcPr>
          <w:p w:rsidR="00DB5DB6" w:rsidRDefault="00DB5D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rPr>
            </w:pPr>
            <w:r>
              <w:rPr>
                <w:b/>
                <w:bCs/>
              </w:rPr>
              <w:t>Pollutant</w:t>
            </w:r>
          </w:p>
        </w:tc>
        <w:tc>
          <w:tcPr>
            <w:tcW w:w="1152" w:type="dxa"/>
            <w:tcBorders>
              <w:top w:val="double" w:sz="6" w:space="0" w:color="000000"/>
              <w:left w:val="nil"/>
            </w:tcBorders>
            <w:shd w:val="clear" w:color="auto" w:fill="auto"/>
            <w:vAlign w:val="center"/>
          </w:tcPr>
          <w:p w:rsidR="00DB5DB6" w:rsidRDefault="00DB5D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rPr>
            </w:pPr>
            <w:r>
              <w:rPr>
                <w:b/>
                <w:bCs/>
              </w:rPr>
              <w:t>NOx</w:t>
            </w:r>
          </w:p>
        </w:tc>
        <w:tc>
          <w:tcPr>
            <w:tcW w:w="1152" w:type="dxa"/>
            <w:tcBorders>
              <w:top w:val="double" w:sz="6" w:space="0" w:color="000000"/>
            </w:tcBorders>
            <w:shd w:val="clear" w:color="auto" w:fill="auto"/>
            <w:vAlign w:val="center"/>
          </w:tcPr>
          <w:p w:rsidR="00DB5DB6" w:rsidRDefault="00DB5D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rPr>
            </w:pPr>
            <w:r>
              <w:rPr>
                <w:b/>
                <w:bCs/>
              </w:rPr>
              <w:t>SOx</w:t>
            </w:r>
          </w:p>
        </w:tc>
        <w:tc>
          <w:tcPr>
            <w:tcW w:w="1152" w:type="dxa"/>
            <w:tcBorders>
              <w:top w:val="double" w:sz="6" w:space="0" w:color="000000"/>
            </w:tcBorders>
            <w:shd w:val="clear" w:color="auto" w:fill="auto"/>
            <w:vAlign w:val="center"/>
          </w:tcPr>
          <w:p w:rsidR="00DB5DB6" w:rsidRDefault="00DB5D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vertAlign w:val="subscript"/>
              </w:rPr>
            </w:pPr>
            <w:r>
              <w:rPr>
                <w:b/>
                <w:bCs/>
              </w:rPr>
              <w:t>PM</w:t>
            </w:r>
            <w:r>
              <w:rPr>
                <w:b/>
                <w:bCs/>
                <w:vertAlign w:val="subscript"/>
              </w:rPr>
              <w:t>10</w:t>
            </w:r>
          </w:p>
        </w:tc>
        <w:tc>
          <w:tcPr>
            <w:tcW w:w="1152" w:type="dxa"/>
            <w:tcBorders>
              <w:top w:val="double" w:sz="6" w:space="0" w:color="000000"/>
            </w:tcBorders>
            <w:shd w:val="clear" w:color="auto" w:fill="auto"/>
            <w:vAlign w:val="center"/>
          </w:tcPr>
          <w:p w:rsidR="00DB5DB6" w:rsidRDefault="00DB5D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rPr>
            </w:pPr>
            <w:r>
              <w:rPr>
                <w:b/>
                <w:bCs/>
              </w:rPr>
              <w:t>CO</w:t>
            </w:r>
          </w:p>
        </w:tc>
        <w:tc>
          <w:tcPr>
            <w:tcW w:w="1152" w:type="dxa"/>
            <w:tcBorders>
              <w:top w:val="double" w:sz="6" w:space="0" w:color="000000"/>
              <w:right w:val="double" w:sz="6" w:space="0" w:color="000000"/>
            </w:tcBorders>
            <w:shd w:val="clear" w:color="auto" w:fill="auto"/>
            <w:vAlign w:val="center"/>
          </w:tcPr>
          <w:p w:rsidR="00DB5DB6" w:rsidRDefault="00DB5D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rPr>
            </w:pPr>
            <w:r>
              <w:rPr>
                <w:b/>
                <w:bCs/>
              </w:rPr>
              <w:t>VOC</w:t>
            </w:r>
          </w:p>
        </w:tc>
      </w:tr>
      <w:tr w:rsidR="00DB5DB6" w:rsidTr="00D917EC">
        <w:tc>
          <w:tcPr>
            <w:tcW w:w="2880" w:type="dxa"/>
            <w:tcBorders>
              <w:left w:val="double" w:sz="6" w:space="0" w:color="000000"/>
              <w:right w:val="double" w:sz="6" w:space="0" w:color="000000"/>
            </w:tcBorders>
            <w:shd w:val="clear" w:color="auto" w:fill="auto"/>
            <w:vAlign w:val="center"/>
          </w:tcPr>
          <w:p w:rsidR="00DB5DB6" w:rsidRDefault="00DB5D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pPr>
            <w:r>
              <w:t>SSPE2 (lb/yr)</w:t>
            </w:r>
          </w:p>
        </w:tc>
        <w:tc>
          <w:tcPr>
            <w:tcW w:w="1152" w:type="dxa"/>
            <w:tcBorders>
              <w:left w:val="nil"/>
            </w:tcBorders>
            <w:shd w:val="clear" w:color="auto" w:fill="auto"/>
            <w:vAlign w:val="center"/>
          </w:tcPr>
          <w:p w:rsidR="00DB5DB6" w:rsidRDefault="00DB5DB6">
            <w:pPr>
              <w:tabs>
                <w:tab w:val="left" w:pos="-720"/>
              </w:tabs>
              <w:suppressAutoHyphens/>
              <w:ind w:left="-108" w:right="-124"/>
              <w:jc w:val="center"/>
              <w:rPr>
                <w:color w:val="0000FF"/>
              </w:rPr>
            </w:pPr>
            <w:r>
              <w:rPr>
                <w:color w:val="0000FF"/>
              </w:rPr>
              <w:t>[   ]</w:t>
            </w:r>
          </w:p>
        </w:tc>
        <w:tc>
          <w:tcPr>
            <w:tcW w:w="1152" w:type="dxa"/>
            <w:shd w:val="clear" w:color="auto" w:fill="auto"/>
            <w:vAlign w:val="center"/>
          </w:tcPr>
          <w:p w:rsidR="00DB5DB6" w:rsidRDefault="00DB5DB6">
            <w:pPr>
              <w:tabs>
                <w:tab w:val="left" w:pos="-720"/>
              </w:tabs>
              <w:suppressAutoHyphens/>
              <w:ind w:left="-108" w:right="-124"/>
              <w:jc w:val="center"/>
              <w:rPr>
                <w:color w:val="0000FF"/>
              </w:rPr>
            </w:pPr>
            <w:r>
              <w:rPr>
                <w:color w:val="0000FF"/>
              </w:rPr>
              <w:t>[   ]</w:t>
            </w:r>
          </w:p>
        </w:tc>
        <w:tc>
          <w:tcPr>
            <w:tcW w:w="1152" w:type="dxa"/>
            <w:shd w:val="clear" w:color="auto" w:fill="auto"/>
            <w:vAlign w:val="center"/>
          </w:tcPr>
          <w:p w:rsidR="00DB5DB6" w:rsidRDefault="00DB5DB6">
            <w:pPr>
              <w:tabs>
                <w:tab w:val="left" w:pos="-720"/>
              </w:tabs>
              <w:suppressAutoHyphens/>
              <w:ind w:left="-108" w:right="-124"/>
              <w:jc w:val="center"/>
              <w:rPr>
                <w:color w:val="0000FF"/>
              </w:rPr>
            </w:pPr>
            <w:r>
              <w:rPr>
                <w:color w:val="0000FF"/>
              </w:rPr>
              <w:t>[   ]</w:t>
            </w:r>
          </w:p>
        </w:tc>
        <w:tc>
          <w:tcPr>
            <w:tcW w:w="1152" w:type="dxa"/>
            <w:shd w:val="clear" w:color="auto" w:fill="auto"/>
            <w:vAlign w:val="center"/>
          </w:tcPr>
          <w:p w:rsidR="00DB5DB6" w:rsidRDefault="00DB5DB6">
            <w:pPr>
              <w:tabs>
                <w:tab w:val="left" w:pos="-720"/>
              </w:tabs>
              <w:suppressAutoHyphens/>
              <w:ind w:left="-108" w:right="-124"/>
              <w:jc w:val="center"/>
              <w:rPr>
                <w:color w:val="0000FF"/>
              </w:rPr>
            </w:pPr>
            <w:r>
              <w:rPr>
                <w:color w:val="0000FF"/>
              </w:rPr>
              <w:t>[   ]</w:t>
            </w:r>
          </w:p>
        </w:tc>
        <w:tc>
          <w:tcPr>
            <w:tcW w:w="1152" w:type="dxa"/>
            <w:tcBorders>
              <w:right w:val="double" w:sz="6" w:space="0" w:color="000000"/>
            </w:tcBorders>
            <w:shd w:val="clear" w:color="auto" w:fill="auto"/>
            <w:vAlign w:val="center"/>
          </w:tcPr>
          <w:p w:rsidR="00DB5DB6" w:rsidRDefault="00DB5DB6">
            <w:pPr>
              <w:tabs>
                <w:tab w:val="left" w:pos="-720"/>
              </w:tabs>
              <w:suppressAutoHyphens/>
              <w:ind w:left="-108" w:right="-124"/>
              <w:jc w:val="center"/>
              <w:rPr>
                <w:color w:val="0000FF"/>
              </w:rPr>
            </w:pPr>
            <w:r>
              <w:rPr>
                <w:color w:val="0000FF"/>
              </w:rPr>
              <w:t>[   ]</w:t>
            </w:r>
          </w:p>
        </w:tc>
      </w:tr>
      <w:tr w:rsidR="00DB5DB6" w:rsidTr="00D917EC">
        <w:tc>
          <w:tcPr>
            <w:tcW w:w="2880" w:type="dxa"/>
            <w:tcBorders>
              <w:left w:val="double" w:sz="6" w:space="0" w:color="000000"/>
              <w:right w:val="double" w:sz="6" w:space="0" w:color="000000"/>
            </w:tcBorders>
            <w:shd w:val="clear" w:color="auto" w:fill="auto"/>
            <w:vAlign w:val="center"/>
          </w:tcPr>
          <w:p w:rsidR="00DB5DB6" w:rsidRDefault="00DB5D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pPr>
            <w:r>
              <w:t>Major Source Threshold</w:t>
            </w:r>
          </w:p>
        </w:tc>
        <w:tc>
          <w:tcPr>
            <w:tcW w:w="1152" w:type="dxa"/>
            <w:tcBorders>
              <w:left w:val="nil"/>
            </w:tcBorders>
            <w:shd w:val="clear" w:color="auto" w:fill="auto"/>
            <w:vAlign w:val="center"/>
          </w:tcPr>
          <w:p w:rsidR="00DB5DB6" w:rsidRDefault="000739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pPr>
            <w:r>
              <w:t>2</w:t>
            </w:r>
            <w:r w:rsidR="00DB5DB6">
              <w:t>0,000</w:t>
            </w:r>
          </w:p>
        </w:tc>
        <w:tc>
          <w:tcPr>
            <w:tcW w:w="1152" w:type="dxa"/>
            <w:shd w:val="clear" w:color="auto" w:fill="auto"/>
            <w:vAlign w:val="center"/>
          </w:tcPr>
          <w:p w:rsidR="00DB5DB6" w:rsidRDefault="00DB5D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pPr>
            <w:r>
              <w:t>140,000</w:t>
            </w:r>
          </w:p>
        </w:tc>
        <w:tc>
          <w:tcPr>
            <w:tcW w:w="1152" w:type="dxa"/>
            <w:shd w:val="clear" w:color="auto" w:fill="auto"/>
            <w:vAlign w:val="center"/>
          </w:tcPr>
          <w:p w:rsidR="00DB5DB6" w:rsidRDefault="00DB5D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pPr>
            <w:r>
              <w:t>140,000</w:t>
            </w:r>
          </w:p>
        </w:tc>
        <w:tc>
          <w:tcPr>
            <w:tcW w:w="1152" w:type="dxa"/>
            <w:shd w:val="clear" w:color="auto" w:fill="auto"/>
            <w:vAlign w:val="center"/>
          </w:tcPr>
          <w:p w:rsidR="00DB5DB6" w:rsidRDefault="00DB5D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pPr>
            <w:r>
              <w:t>200,000</w:t>
            </w:r>
          </w:p>
        </w:tc>
        <w:tc>
          <w:tcPr>
            <w:tcW w:w="1152" w:type="dxa"/>
            <w:tcBorders>
              <w:right w:val="double" w:sz="6" w:space="0" w:color="000000"/>
            </w:tcBorders>
            <w:shd w:val="clear" w:color="auto" w:fill="auto"/>
            <w:vAlign w:val="center"/>
          </w:tcPr>
          <w:p w:rsidR="00DB5DB6" w:rsidRDefault="000739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pPr>
            <w:r>
              <w:t>2</w:t>
            </w:r>
            <w:r w:rsidR="00DB5DB6">
              <w:t>0,000</w:t>
            </w:r>
          </w:p>
        </w:tc>
      </w:tr>
      <w:tr w:rsidR="00DB5DB6" w:rsidTr="00D917EC">
        <w:tc>
          <w:tcPr>
            <w:tcW w:w="2880" w:type="dxa"/>
            <w:tcBorders>
              <w:left w:val="double" w:sz="6" w:space="0" w:color="000000"/>
              <w:bottom w:val="double" w:sz="6" w:space="0" w:color="000000"/>
              <w:right w:val="double" w:sz="6" w:space="0" w:color="000000"/>
            </w:tcBorders>
            <w:shd w:val="clear" w:color="auto" w:fill="auto"/>
            <w:vAlign w:val="center"/>
          </w:tcPr>
          <w:p w:rsidR="00DB5DB6" w:rsidRDefault="00DB5D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pPr>
            <w:r>
              <w:t>Major Source?</w:t>
            </w:r>
          </w:p>
        </w:tc>
        <w:tc>
          <w:tcPr>
            <w:tcW w:w="1152" w:type="dxa"/>
            <w:tcBorders>
              <w:left w:val="nil"/>
              <w:bottom w:val="double" w:sz="6" w:space="0" w:color="000000"/>
            </w:tcBorders>
            <w:shd w:val="clear" w:color="auto" w:fill="auto"/>
            <w:vAlign w:val="center"/>
          </w:tcPr>
          <w:p w:rsidR="00DB5DB6" w:rsidRDefault="00DB5DB6">
            <w:pPr>
              <w:suppressAutoHyphens/>
              <w:jc w:val="center"/>
              <w:rPr>
                <w:spacing w:val="-3"/>
              </w:rPr>
            </w:pPr>
            <w:r>
              <w:rPr>
                <w:color w:val="0000FF"/>
                <w:spacing w:val="-3"/>
              </w:rPr>
              <w:t>[Yes or No]</w:t>
            </w:r>
          </w:p>
        </w:tc>
        <w:tc>
          <w:tcPr>
            <w:tcW w:w="1152" w:type="dxa"/>
            <w:tcBorders>
              <w:bottom w:val="double" w:sz="6" w:space="0" w:color="000000"/>
            </w:tcBorders>
            <w:shd w:val="clear" w:color="auto" w:fill="auto"/>
            <w:vAlign w:val="center"/>
          </w:tcPr>
          <w:p w:rsidR="00DB5DB6" w:rsidRDefault="00DB5DB6">
            <w:pPr>
              <w:suppressAutoHyphens/>
              <w:jc w:val="center"/>
              <w:rPr>
                <w:spacing w:val="-3"/>
              </w:rPr>
            </w:pPr>
            <w:r>
              <w:rPr>
                <w:color w:val="0000FF"/>
                <w:spacing w:val="-3"/>
              </w:rPr>
              <w:t>[Yes or No]</w:t>
            </w:r>
          </w:p>
        </w:tc>
        <w:tc>
          <w:tcPr>
            <w:tcW w:w="1152" w:type="dxa"/>
            <w:tcBorders>
              <w:bottom w:val="double" w:sz="6" w:space="0" w:color="000000"/>
            </w:tcBorders>
            <w:shd w:val="clear" w:color="auto" w:fill="auto"/>
            <w:vAlign w:val="center"/>
          </w:tcPr>
          <w:p w:rsidR="00DB5DB6" w:rsidRDefault="00DB5DB6">
            <w:pPr>
              <w:suppressAutoHyphens/>
              <w:jc w:val="center"/>
              <w:rPr>
                <w:spacing w:val="-3"/>
              </w:rPr>
            </w:pPr>
            <w:r>
              <w:rPr>
                <w:color w:val="0000FF"/>
                <w:spacing w:val="-3"/>
              </w:rPr>
              <w:t>[Yes or No]</w:t>
            </w:r>
          </w:p>
        </w:tc>
        <w:tc>
          <w:tcPr>
            <w:tcW w:w="1152" w:type="dxa"/>
            <w:tcBorders>
              <w:bottom w:val="double" w:sz="6" w:space="0" w:color="000000"/>
            </w:tcBorders>
            <w:shd w:val="clear" w:color="auto" w:fill="auto"/>
            <w:vAlign w:val="center"/>
          </w:tcPr>
          <w:p w:rsidR="00DB5DB6" w:rsidRDefault="00DB5DB6">
            <w:pPr>
              <w:suppressAutoHyphens/>
              <w:jc w:val="center"/>
              <w:rPr>
                <w:spacing w:val="-3"/>
              </w:rPr>
            </w:pPr>
            <w:r>
              <w:rPr>
                <w:color w:val="0000FF"/>
                <w:spacing w:val="-3"/>
              </w:rPr>
              <w:t>[Yes or No]</w:t>
            </w:r>
          </w:p>
        </w:tc>
        <w:tc>
          <w:tcPr>
            <w:tcW w:w="1152" w:type="dxa"/>
            <w:tcBorders>
              <w:bottom w:val="double" w:sz="6" w:space="0" w:color="000000"/>
              <w:right w:val="double" w:sz="6" w:space="0" w:color="000000"/>
            </w:tcBorders>
            <w:shd w:val="clear" w:color="auto" w:fill="auto"/>
            <w:vAlign w:val="center"/>
          </w:tcPr>
          <w:p w:rsidR="00DB5DB6" w:rsidRDefault="00DB5DB6">
            <w:pPr>
              <w:suppressAutoHyphens/>
              <w:jc w:val="center"/>
              <w:rPr>
                <w:spacing w:val="-3"/>
              </w:rPr>
            </w:pPr>
            <w:r>
              <w:rPr>
                <w:color w:val="0000FF"/>
                <w:spacing w:val="-3"/>
              </w:rPr>
              <w:t>[Yes or No]</w:t>
            </w:r>
          </w:p>
        </w:tc>
      </w:tr>
    </w:tbl>
    <w:p w:rsidR="00DB5DB6" w:rsidRDefault="00DB5D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ind w:left="1440"/>
        <w:jc w:val="both"/>
      </w:pPr>
    </w:p>
    <w:p w:rsidR="00DB5DB6" w:rsidRDefault="00DB5DB6">
      <w:pPr>
        <w:tabs>
          <w:tab w:val="left" w:pos="450"/>
        </w:tabs>
        <w:ind w:left="720"/>
        <w:rPr>
          <w:szCs w:val="24"/>
        </w:rPr>
      </w:pPr>
      <w:r>
        <w:rPr>
          <w:szCs w:val="24"/>
        </w:rPr>
        <w:t xml:space="preserve">Since </w:t>
      </w:r>
      <w:r>
        <w:rPr>
          <w:color w:val="0000FF"/>
          <w:szCs w:val="24"/>
        </w:rPr>
        <w:t>none</w:t>
      </w:r>
      <w:r>
        <w:rPr>
          <w:szCs w:val="24"/>
        </w:rPr>
        <w:t xml:space="preserve"> of the threshold values in the above table are exceeded, this facility </w:t>
      </w:r>
      <w:r>
        <w:rPr>
          <w:color w:val="0000FF"/>
          <w:szCs w:val="24"/>
        </w:rPr>
        <w:t>is not</w:t>
      </w:r>
      <w:r>
        <w:rPr>
          <w:szCs w:val="24"/>
        </w:rPr>
        <w:t xml:space="preserve"> a Major Source.</w:t>
      </w:r>
    </w:p>
    <w:p w:rsidR="00DB5DB6" w:rsidRDefault="00DB5DB6">
      <w:pPr>
        <w:tabs>
          <w:tab w:val="left" w:pos="450"/>
        </w:tabs>
        <w:rPr>
          <w:szCs w:val="24"/>
        </w:rPr>
      </w:pPr>
    </w:p>
    <w:p w:rsidR="00DB5DB6" w:rsidRDefault="00DB5DB6">
      <w:pPr>
        <w:suppressAutoHyphens/>
        <w:ind w:left="720"/>
        <w:jc w:val="both"/>
        <w:rPr>
          <w:bCs/>
          <w:color w:val="FF0000"/>
          <w:spacing w:val="-3"/>
        </w:rPr>
      </w:pPr>
      <w:r>
        <w:rPr>
          <w:bCs/>
          <w:color w:val="FF0000"/>
          <w:spacing w:val="-3"/>
        </w:rPr>
        <w:t>Or</w:t>
      </w:r>
    </w:p>
    <w:p w:rsidR="00DB5DB6" w:rsidRDefault="00DB5DB6">
      <w:pPr>
        <w:suppressAutoHyphens/>
        <w:ind w:left="1440"/>
        <w:jc w:val="both"/>
        <w:rPr>
          <w:szCs w:val="24"/>
        </w:rPr>
      </w:pPr>
    </w:p>
    <w:p w:rsidR="00DB5DB6" w:rsidRDefault="00DB5DB6">
      <w:pPr>
        <w:suppressAutoHyphens/>
        <w:ind w:left="720"/>
        <w:jc w:val="both"/>
        <w:rPr>
          <w:i/>
          <w:iCs/>
          <w:color w:val="FF0000"/>
        </w:rPr>
      </w:pPr>
      <w:r>
        <w:rPr>
          <w:szCs w:val="24"/>
        </w:rPr>
        <w:t xml:space="preserve">Since </w:t>
      </w:r>
      <w:r>
        <w:rPr>
          <w:color w:val="0000FF"/>
          <w:szCs w:val="24"/>
        </w:rPr>
        <w:t>the annual VOC emissions are above the major source</w:t>
      </w:r>
      <w:r>
        <w:rPr>
          <w:szCs w:val="24"/>
        </w:rPr>
        <w:t xml:space="preserve"> threshold values in the above table, this facility </w:t>
      </w:r>
      <w:r>
        <w:rPr>
          <w:color w:val="0000FF"/>
          <w:szCs w:val="24"/>
        </w:rPr>
        <w:t>is now</w:t>
      </w:r>
      <w:r>
        <w:rPr>
          <w:szCs w:val="24"/>
        </w:rPr>
        <w:t xml:space="preserve"> a Major Source for VOC.  </w:t>
      </w:r>
      <w:r>
        <w:rPr>
          <w:i/>
          <w:iCs/>
          <w:color w:val="FF0000"/>
        </w:rPr>
        <w:t>(If this is true, this project is NO LONGER A GEAR. Check with your supervisor before further processing.)</w:t>
      </w:r>
    </w:p>
    <w:p w:rsidR="00DB5DB6" w:rsidRDefault="00DB5DB6">
      <w:pPr>
        <w:suppressAutoHyphens/>
        <w:ind w:left="1440"/>
        <w:jc w:val="both"/>
        <w:rPr>
          <w:bCs/>
          <w:color w:val="FF0000"/>
          <w:spacing w:val="-3"/>
        </w:rPr>
      </w:pPr>
    </w:p>
    <w:p w:rsidR="00E767BC" w:rsidRPr="00066C21" w:rsidRDefault="00E767BC" w:rsidP="00E767BC">
      <w:pPr>
        <w:autoSpaceDE w:val="0"/>
        <w:autoSpaceDN w:val="0"/>
        <w:adjustRightInd w:val="0"/>
        <w:ind w:left="720"/>
        <w:jc w:val="both"/>
        <w:rPr>
          <w:b/>
          <w:color w:val="000000"/>
          <w:u w:val="single"/>
        </w:rPr>
      </w:pPr>
      <w:r w:rsidRPr="00066C21">
        <w:rPr>
          <w:b/>
          <w:color w:val="000000"/>
          <w:u w:val="single"/>
        </w:rPr>
        <w:t>Rule 2410 Major Source Determination:</w:t>
      </w:r>
    </w:p>
    <w:p w:rsidR="00E767BC" w:rsidRPr="00066C21" w:rsidRDefault="00E767BC" w:rsidP="00E767BC">
      <w:pPr>
        <w:ind w:left="1440" w:hanging="720"/>
        <w:jc w:val="both"/>
        <w:rPr>
          <w:bCs/>
          <w:iCs/>
        </w:rPr>
      </w:pPr>
    </w:p>
    <w:p w:rsidR="00E767BC" w:rsidRPr="00066C21" w:rsidRDefault="00E767BC" w:rsidP="00E767BC">
      <w:pPr>
        <w:suppressAutoHyphens/>
        <w:ind w:left="720"/>
        <w:jc w:val="both"/>
        <w:rPr>
          <w:rFonts w:cs="Arial"/>
          <w:noProof/>
        </w:rPr>
      </w:pPr>
      <w:r w:rsidRPr="00066C21">
        <w:rPr>
          <w:rFonts w:cs="Arial"/>
          <w:noProof/>
        </w:rPr>
        <w:lastRenderedPageBreak/>
        <w:t xml:space="preserve">The facility or the equipment evaluated under this project is not listed as one of the categories specified in </w:t>
      </w:r>
      <w:r w:rsidRPr="00066C21">
        <w:rPr>
          <w:bCs/>
          <w:iCs/>
        </w:rPr>
        <w:t>40 CFR 52.21 (b)(1)(i).  Therefore the following PSD Major Source thresholds are applicable.</w:t>
      </w:r>
    </w:p>
    <w:p w:rsidR="00E767BC" w:rsidRPr="00066C21" w:rsidRDefault="00E767BC" w:rsidP="00E767BC">
      <w:pPr>
        <w:suppressAutoHyphens/>
        <w:ind w:left="720"/>
        <w:jc w:val="both"/>
        <w:rPr>
          <w:rFonts w:cs="Arial"/>
          <w:noProof/>
          <w:color w:val="000000" w:themeColor="text1"/>
        </w:rPr>
      </w:pPr>
    </w:p>
    <w:tbl>
      <w:tblPr>
        <w:tblStyle w:val="TableGrid"/>
        <w:tblW w:w="9630" w:type="dxa"/>
        <w:tblInd w:w="91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3690"/>
        <w:gridCol w:w="810"/>
        <w:gridCol w:w="810"/>
        <w:gridCol w:w="827"/>
        <w:gridCol w:w="703"/>
        <w:gridCol w:w="720"/>
        <w:gridCol w:w="810"/>
        <w:gridCol w:w="1260"/>
      </w:tblGrid>
      <w:tr w:rsidR="00E767BC" w:rsidRPr="00066C21" w:rsidTr="00D917EC">
        <w:trPr>
          <w:trHeight w:val="618"/>
        </w:trPr>
        <w:tc>
          <w:tcPr>
            <w:tcW w:w="9630" w:type="dxa"/>
            <w:gridSpan w:val="8"/>
            <w:tcBorders>
              <w:top w:val="double" w:sz="4" w:space="0" w:color="auto"/>
              <w:bottom w:val="double" w:sz="4" w:space="0" w:color="auto"/>
            </w:tcBorders>
            <w:shd w:val="clear" w:color="auto" w:fill="auto"/>
            <w:vAlign w:val="center"/>
          </w:tcPr>
          <w:p w:rsidR="00E767BC" w:rsidRPr="00066C21" w:rsidRDefault="00E767BC" w:rsidP="002A558C">
            <w:pPr>
              <w:jc w:val="center"/>
              <w:rPr>
                <w:b/>
                <w:sz w:val="22"/>
                <w:szCs w:val="22"/>
              </w:rPr>
            </w:pPr>
            <w:r w:rsidRPr="00066C21">
              <w:rPr>
                <w:b/>
                <w:sz w:val="22"/>
                <w:szCs w:val="22"/>
              </w:rPr>
              <w:t>PSD Major Source Determination</w:t>
            </w:r>
          </w:p>
          <w:p w:rsidR="00E767BC" w:rsidRPr="00066C21" w:rsidRDefault="00E767BC" w:rsidP="002A558C">
            <w:pPr>
              <w:jc w:val="center"/>
              <w:rPr>
                <w:rFonts w:cs="Arial"/>
                <w:noProof/>
                <w:color w:val="000000" w:themeColor="text1"/>
                <w:sz w:val="22"/>
                <w:szCs w:val="22"/>
              </w:rPr>
            </w:pPr>
            <w:r w:rsidRPr="00066C21">
              <w:rPr>
                <w:b/>
                <w:sz w:val="22"/>
                <w:szCs w:val="22"/>
              </w:rPr>
              <w:t>(tons/year)</w:t>
            </w:r>
          </w:p>
        </w:tc>
      </w:tr>
      <w:tr w:rsidR="00E767BC" w:rsidRPr="00066C21" w:rsidTr="00D917EC">
        <w:trPr>
          <w:trHeight w:val="447"/>
        </w:trPr>
        <w:tc>
          <w:tcPr>
            <w:tcW w:w="3690" w:type="dxa"/>
            <w:tcBorders>
              <w:top w:val="double" w:sz="4" w:space="0" w:color="auto"/>
              <w:bottom w:val="single" w:sz="12" w:space="0" w:color="auto"/>
            </w:tcBorders>
            <w:shd w:val="clear" w:color="auto" w:fill="auto"/>
            <w:vAlign w:val="center"/>
          </w:tcPr>
          <w:p w:rsidR="00E767BC" w:rsidRPr="00066C21" w:rsidRDefault="00E767BC" w:rsidP="002A558C">
            <w:pPr>
              <w:rPr>
                <w:rFonts w:cs="Arial"/>
                <w:noProof/>
                <w:color w:val="000000" w:themeColor="text1"/>
                <w:sz w:val="22"/>
                <w:szCs w:val="22"/>
              </w:rPr>
            </w:pPr>
          </w:p>
        </w:tc>
        <w:tc>
          <w:tcPr>
            <w:tcW w:w="810" w:type="dxa"/>
            <w:tcBorders>
              <w:top w:val="double" w:sz="4" w:space="0" w:color="auto"/>
              <w:bottom w:val="single" w:sz="12" w:space="0" w:color="auto"/>
            </w:tcBorders>
            <w:shd w:val="clear" w:color="auto" w:fill="auto"/>
            <w:vAlign w:val="center"/>
          </w:tcPr>
          <w:p w:rsidR="00E767BC" w:rsidRPr="00066C21" w:rsidRDefault="00E767BC" w:rsidP="002A558C">
            <w:pPr>
              <w:jc w:val="center"/>
              <w:rPr>
                <w:rFonts w:cs="Arial"/>
                <w:noProof/>
                <w:color w:val="000000" w:themeColor="text1"/>
                <w:sz w:val="22"/>
                <w:szCs w:val="22"/>
              </w:rPr>
            </w:pPr>
            <w:r w:rsidRPr="00066C21">
              <w:rPr>
                <w:rFonts w:cs="Arial"/>
                <w:noProof/>
                <w:color w:val="000000" w:themeColor="text1"/>
                <w:sz w:val="22"/>
                <w:szCs w:val="22"/>
              </w:rPr>
              <w:t>NO2</w:t>
            </w:r>
          </w:p>
        </w:tc>
        <w:tc>
          <w:tcPr>
            <w:tcW w:w="810" w:type="dxa"/>
            <w:tcBorders>
              <w:top w:val="double" w:sz="4" w:space="0" w:color="auto"/>
              <w:bottom w:val="single" w:sz="12" w:space="0" w:color="auto"/>
            </w:tcBorders>
            <w:shd w:val="clear" w:color="auto" w:fill="auto"/>
            <w:vAlign w:val="center"/>
          </w:tcPr>
          <w:p w:rsidR="00E767BC" w:rsidRPr="00066C21" w:rsidRDefault="00E767BC" w:rsidP="002A558C">
            <w:pPr>
              <w:jc w:val="center"/>
              <w:rPr>
                <w:rFonts w:cs="Arial"/>
                <w:noProof/>
                <w:color w:val="000000" w:themeColor="text1"/>
                <w:sz w:val="22"/>
                <w:szCs w:val="22"/>
              </w:rPr>
            </w:pPr>
            <w:r w:rsidRPr="00066C21">
              <w:rPr>
                <w:rFonts w:cs="Arial"/>
                <w:noProof/>
                <w:color w:val="000000" w:themeColor="text1"/>
                <w:sz w:val="22"/>
                <w:szCs w:val="22"/>
              </w:rPr>
              <w:t>VOC</w:t>
            </w:r>
          </w:p>
        </w:tc>
        <w:tc>
          <w:tcPr>
            <w:tcW w:w="827" w:type="dxa"/>
            <w:tcBorders>
              <w:top w:val="double" w:sz="4" w:space="0" w:color="auto"/>
              <w:bottom w:val="single" w:sz="12" w:space="0" w:color="auto"/>
            </w:tcBorders>
            <w:shd w:val="clear" w:color="auto" w:fill="auto"/>
            <w:vAlign w:val="center"/>
          </w:tcPr>
          <w:p w:rsidR="00E767BC" w:rsidRPr="00066C21" w:rsidRDefault="00E767BC" w:rsidP="002A558C">
            <w:pPr>
              <w:jc w:val="center"/>
              <w:rPr>
                <w:rFonts w:cs="Arial"/>
                <w:noProof/>
                <w:color w:val="000000" w:themeColor="text1"/>
                <w:sz w:val="22"/>
                <w:szCs w:val="22"/>
              </w:rPr>
            </w:pPr>
            <w:r w:rsidRPr="00066C21">
              <w:rPr>
                <w:rFonts w:cs="Arial"/>
                <w:noProof/>
                <w:color w:val="000000" w:themeColor="text1"/>
                <w:sz w:val="22"/>
                <w:szCs w:val="22"/>
              </w:rPr>
              <w:t>SO2</w:t>
            </w:r>
          </w:p>
        </w:tc>
        <w:tc>
          <w:tcPr>
            <w:tcW w:w="703" w:type="dxa"/>
            <w:tcBorders>
              <w:top w:val="double" w:sz="4" w:space="0" w:color="auto"/>
              <w:bottom w:val="single" w:sz="12" w:space="0" w:color="auto"/>
            </w:tcBorders>
            <w:shd w:val="clear" w:color="auto" w:fill="auto"/>
            <w:vAlign w:val="center"/>
          </w:tcPr>
          <w:p w:rsidR="00E767BC" w:rsidRPr="00066C21" w:rsidRDefault="00E767BC" w:rsidP="002A558C">
            <w:pPr>
              <w:jc w:val="center"/>
              <w:rPr>
                <w:rFonts w:cs="Arial"/>
                <w:noProof/>
                <w:color w:val="000000" w:themeColor="text1"/>
                <w:sz w:val="22"/>
                <w:szCs w:val="22"/>
              </w:rPr>
            </w:pPr>
            <w:r w:rsidRPr="00066C21">
              <w:rPr>
                <w:rFonts w:cs="Arial"/>
                <w:noProof/>
                <w:color w:val="000000" w:themeColor="text1"/>
                <w:sz w:val="22"/>
                <w:szCs w:val="22"/>
              </w:rPr>
              <w:t>CO</w:t>
            </w:r>
          </w:p>
        </w:tc>
        <w:tc>
          <w:tcPr>
            <w:tcW w:w="720" w:type="dxa"/>
            <w:tcBorders>
              <w:top w:val="double" w:sz="4" w:space="0" w:color="auto"/>
              <w:bottom w:val="single" w:sz="12" w:space="0" w:color="auto"/>
            </w:tcBorders>
            <w:shd w:val="clear" w:color="auto" w:fill="auto"/>
            <w:vAlign w:val="center"/>
          </w:tcPr>
          <w:p w:rsidR="00E767BC" w:rsidRPr="00066C21" w:rsidRDefault="00E767BC" w:rsidP="002A558C">
            <w:pPr>
              <w:jc w:val="center"/>
              <w:rPr>
                <w:rFonts w:cs="Arial"/>
                <w:noProof/>
                <w:color w:val="000000" w:themeColor="text1"/>
                <w:sz w:val="22"/>
                <w:szCs w:val="22"/>
              </w:rPr>
            </w:pPr>
            <w:r w:rsidRPr="00066C21">
              <w:rPr>
                <w:rFonts w:cs="Arial"/>
                <w:noProof/>
                <w:color w:val="000000" w:themeColor="text1"/>
                <w:sz w:val="22"/>
                <w:szCs w:val="22"/>
              </w:rPr>
              <w:t>PM</w:t>
            </w:r>
          </w:p>
        </w:tc>
        <w:tc>
          <w:tcPr>
            <w:tcW w:w="810" w:type="dxa"/>
            <w:tcBorders>
              <w:top w:val="double" w:sz="4" w:space="0" w:color="auto"/>
              <w:bottom w:val="single" w:sz="12" w:space="0" w:color="auto"/>
            </w:tcBorders>
            <w:shd w:val="clear" w:color="auto" w:fill="auto"/>
            <w:vAlign w:val="center"/>
          </w:tcPr>
          <w:p w:rsidR="00E767BC" w:rsidRPr="00066C21" w:rsidRDefault="00E767BC" w:rsidP="002A558C">
            <w:pPr>
              <w:jc w:val="center"/>
              <w:rPr>
                <w:rFonts w:cs="Arial"/>
                <w:noProof/>
                <w:color w:val="000000" w:themeColor="text1"/>
                <w:sz w:val="22"/>
                <w:szCs w:val="22"/>
              </w:rPr>
            </w:pPr>
            <w:r w:rsidRPr="00066C21">
              <w:rPr>
                <w:rFonts w:cs="Arial"/>
                <w:noProof/>
                <w:color w:val="000000" w:themeColor="text1"/>
                <w:sz w:val="22"/>
                <w:szCs w:val="22"/>
              </w:rPr>
              <w:t>PM10</w:t>
            </w:r>
          </w:p>
        </w:tc>
        <w:tc>
          <w:tcPr>
            <w:tcW w:w="1260" w:type="dxa"/>
            <w:tcBorders>
              <w:top w:val="double" w:sz="4" w:space="0" w:color="auto"/>
              <w:bottom w:val="single" w:sz="12" w:space="0" w:color="auto"/>
            </w:tcBorders>
            <w:shd w:val="clear" w:color="auto" w:fill="auto"/>
            <w:vAlign w:val="center"/>
          </w:tcPr>
          <w:p w:rsidR="00E767BC" w:rsidRPr="00066C21" w:rsidRDefault="00E767BC" w:rsidP="002A558C">
            <w:pPr>
              <w:jc w:val="center"/>
              <w:rPr>
                <w:rFonts w:cs="Arial"/>
                <w:noProof/>
                <w:color w:val="000000" w:themeColor="text1"/>
                <w:sz w:val="22"/>
                <w:szCs w:val="22"/>
              </w:rPr>
            </w:pPr>
            <w:r w:rsidRPr="00066C21">
              <w:rPr>
                <w:rFonts w:cs="Arial"/>
                <w:noProof/>
                <w:color w:val="000000" w:themeColor="text1"/>
                <w:sz w:val="22"/>
                <w:szCs w:val="22"/>
              </w:rPr>
              <w:t>CO2e</w:t>
            </w:r>
          </w:p>
        </w:tc>
      </w:tr>
      <w:tr w:rsidR="00E767BC" w:rsidRPr="00066C21" w:rsidTr="002A558C">
        <w:trPr>
          <w:trHeight w:val="609"/>
        </w:trPr>
        <w:tc>
          <w:tcPr>
            <w:tcW w:w="3690" w:type="dxa"/>
            <w:tcBorders>
              <w:top w:val="single" w:sz="12" w:space="0" w:color="auto"/>
              <w:bottom w:val="single" w:sz="4" w:space="0" w:color="auto"/>
            </w:tcBorders>
            <w:vAlign w:val="center"/>
          </w:tcPr>
          <w:p w:rsidR="00E767BC" w:rsidRPr="00066C21" w:rsidRDefault="00E767BC" w:rsidP="002A558C">
            <w:pPr>
              <w:jc w:val="left"/>
              <w:rPr>
                <w:rFonts w:cs="Arial"/>
                <w:noProof/>
                <w:color w:val="000000" w:themeColor="text1"/>
                <w:sz w:val="22"/>
                <w:szCs w:val="22"/>
              </w:rPr>
            </w:pPr>
            <w:r w:rsidRPr="00066C21">
              <w:rPr>
                <w:rFonts w:cs="Arial"/>
                <w:noProof/>
                <w:color w:val="000000" w:themeColor="text1"/>
                <w:sz w:val="22"/>
                <w:szCs w:val="22"/>
              </w:rPr>
              <w:t>Estimated Facility PE before Project Increase</w:t>
            </w:r>
          </w:p>
        </w:tc>
        <w:tc>
          <w:tcPr>
            <w:tcW w:w="810" w:type="dxa"/>
            <w:tcBorders>
              <w:top w:val="single" w:sz="12" w:space="0" w:color="auto"/>
              <w:bottom w:val="single" w:sz="4" w:space="0" w:color="auto"/>
            </w:tcBorders>
            <w:vAlign w:val="center"/>
          </w:tcPr>
          <w:p w:rsidR="00E767BC" w:rsidRPr="00066C21" w:rsidRDefault="00E767BC" w:rsidP="002A558C">
            <w:pPr>
              <w:jc w:val="center"/>
              <w:rPr>
                <w:rFonts w:cs="Arial"/>
                <w:noProof/>
                <w:color w:val="000000" w:themeColor="text1"/>
                <w:sz w:val="22"/>
                <w:szCs w:val="22"/>
              </w:rPr>
            </w:pPr>
            <w:r>
              <w:rPr>
                <w:rFonts w:cs="Arial"/>
                <w:noProof/>
                <w:color w:val="000000" w:themeColor="text1"/>
                <w:sz w:val="22"/>
                <w:szCs w:val="22"/>
              </w:rPr>
              <w:t>0</w:t>
            </w:r>
          </w:p>
        </w:tc>
        <w:tc>
          <w:tcPr>
            <w:tcW w:w="810" w:type="dxa"/>
            <w:tcBorders>
              <w:top w:val="single" w:sz="12" w:space="0" w:color="auto"/>
              <w:bottom w:val="single" w:sz="4" w:space="0" w:color="auto"/>
            </w:tcBorders>
            <w:vAlign w:val="center"/>
          </w:tcPr>
          <w:p w:rsidR="00E767BC" w:rsidRPr="00066C21" w:rsidRDefault="00E767BC" w:rsidP="002A558C">
            <w:pPr>
              <w:jc w:val="center"/>
              <w:rPr>
                <w:rFonts w:cs="Arial"/>
                <w:noProof/>
                <w:color w:val="000000" w:themeColor="text1"/>
                <w:sz w:val="22"/>
                <w:szCs w:val="22"/>
              </w:rPr>
            </w:pPr>
            <w:r>
              <w:rPr>
                <w:rFonts w:cs="Arial"/>
                <w:noProof/>
                <w:color w:val="000000" w:themeColor="text1"/>
                <w:sz w:val="22"/>
                <w:szCs w:val="22"/>
              </w:rPr>
              <w:t>0</w:t>
            </w:r>
          </w:p>
        </w:tc>
        <w:tc>
          <w:tcPr>
            <w:tcW w:w="827" w:type="dxa"/>
            <w:tcBorders>
              <w:top w:val="single" w:sz="12" w:space="0" w:color="auto"/>
              <w:bottom w:val="single" w:sz="4" w:space="0" w:color="auto"/>
            </w:tcBorders>
            <w:vAlign w:val="center"/>
          </w:tcPr>
          <w:p w:rsidR="00E767BC" w:rsidRPr="00066C21" w:rsidRDefault="00E767BC" w:rsidP="002A558C">
            <w:pPr>
              <w:jc w:val="center"/>
              <w:rPr>
                <w:rFonts w:cs="Arial"/>
                <w:noProof/>
                <w:color w:val="000000" w:themeColor="text1"/>
                <w:sz w:val="22"/>
                <w:szCs w:val="22"/>
              </w:rPr>
            </w:pPr>
            <w:r>
              <w:rPr>
                <w:rFonts w:cs="Arial"/>
                <w:noProof/>
                <w:color w:val="000000" w:themeColor="text1"/>
                <w:sz w:val="22"/>
                <w:szCs w:val="22"/>
              </w:rPr>
              <w:t>0</w:t>
            </w:r>
          </w:p>
        </w:tc>
        <w:tc>
          <w:tcPr>
            <w:tcW w:w="703" w:type="dxa"/>
            <w:tcBorders>
              <w:top w:val="single" w:sz="12" w:space="0" w:color="auto"/>
              <w:bottom w:val="single" w:sz="4" w:space="0" w:color="auto"/>
            </w:tcBorders>
            <w:vAlign w:val="center"/>
          </w:tcPr>
          <w:p w:rsidR="00E767BC" w:rsidRPr="00066C21" w:rsidRDefault="00E767BC" w:rsidP="002A558C">
            <w:pPr>
              <w:jc w:val="center"/>
              <w:rPr>
                <w:rFonts w:cs="Arial"/>
                <w:noProof/>
                <w:color w:val="000000" w:themeColor="text1"/>
                <w:sz w:val="22"/>
                <w:szCs w:val="22"/>
              </w:rPr>
            </w:pPr>
            <w:r>
              <w:rPr>
                <w:rFonts w:cs="Arial"/>
                <w:noProof/>
                <w:color w:val="000000" w:themeColor="text1"/>
                <w:sz w:val="22"/>
                <w:szCs w:val="22"/>
              </w:rPr>
              <w:t>0</w:t>
            </w:r>
          </w:p>
        </w:tc>
        <w:tc>
          <w:tcPr>
            <w:tcW w:w="720" w:type="dxa"/>
            <w:tcBorders>
              <w:top w:val="single" w:sz="12" w:space="0" w:color="auto"/>
              <w:bottom w:val="single" w:sz="4" w:space="0" w:color="auto"/>
            </w:tcBorders>
            <w:vAlign w:val="center"/>
          </w:tcPr>
          <w:p w:rsidR="00E767BC" w:rsidRPr="00066C21" w:rsidRDefault="00E767BC" w:rsidP="002A558C">
            <w:pPr>
              <w:jc w:val="center"/>
              <w:rPr>
                <w:rFonts w:cs="Arial"/>
                <w:noProof/>
                <w:color w:val="000000" w:themeColor="text1"/>
                <w:sz w:val="22"/>
                <w:szCs w:val="22"/>
              </w:rPr>
            </w:pPr>
            <w:r>
              <w:rPr>
                <w:rFonts w:cs="Arial"/>
                <w:noProof/>
                <w:color w:val="000000" w:themeColor="text1"/>
                <w:sz w:val="22"/>
                <w:szCs w:val="22"/>
              </w:rPr>
              <w:t>0</w:t>
            </w:r>
          </w:p>
        </w:tc>
        <w:tc>
          <w:tcPr>
            <w:tcW w:w="810" w:type="dxa"/>
            <w:tcBorders>
              <w:top w:val="single" w:sz="12" w:space="0" w:color="auto"/>
              <w:bottom w:val="single" w:sz="4" w:space="0" w:color="auto"/>
            </w:tcBorders>
            <w:vAlign w:val="center"/>
          </w:tcPr>
          <w:p w:rsidR="00E767BC" w:rsidRPr="00066C21" w:rsidRDefault="00E767BC" w:rsidP="002A558C">
            <w:pPr>
              <w:jc w:val="center"/>
              <w:rPr>
                <w:rFonts w:cs="Arial"/>
                <w:noProof/>
                <w:color w:val="000000" w:themeColor="text1"/>
                <w:sz w:val="22"/>
                <w:szCs w:val="22"/>
              </w:rPr>
            </w:pPr>
            <w:r>
              <w:rPr>
                <w:rFonts w:cs="Arial"/>
                <w:noProof/>
                <w:color w:val="000000" w:themeColor="text1"/>
                <w:sz w:val="22"/>
                <w:szCs w:val="22"/>
              </w:rPr>
              <w:t>0</w:t>
            </w:r>
          </w:p>
        </w:tc>
        <w:tc>
          <w:tcPr>
            <w:tcW w:w="1260" w:type="dxa"/>
            <w:tcBorders>
              <w:top w:val="single" w:sz="12" w:space="0" w:color="auto"/>
              <w:bottom w:val="single" w:sz="4" w:space="0" w:color="auto"/>
            </w:tcBorders>
            <w:vAlign w:val="center"/>
          </w:tcPr>
          <w:p w:rsidR="00E767BC" w:rsidRPr="00066C21" w:rsidRDefault="00E767BC" w:rsidP="002A558C">
            <w:pPr>
              <w:jc w:val="center"/>
              <w:rPr>
                <w:rFonts w:cs="Arial"/>
                <w:noProof/>
                <w:color w:val="000000" w:themeColor="text1"/>
                <w:sz w:val="22"/>
                <w:szCs w:val="22"/>
              </w:rPr>
            </w:pPr>
            <w:r>
              <w:rPr>
                <w:rFonts w:cs="Arial"/>
                <w:noProof/>
                <w:color w:val="000000" w:themeColor="text1"/>
                <w:sz w:val="22"/>
                <w:szCs w:val="22"/>
              </w:rPr>
              <w:t>0</w:t>
            </w:r>
          </w:p>
        </w:tc>
      </w:tr>
      <w:tr w:rsidR="00E767BC" w:rsidRPr="00066C21" w:rsidTr="002A558C">
        <w:trPr>
          <w:trHeight w:val="359"/>
        </w:trPr>
        <w:tc>
          <w:tcPr>
            <w:tcW w:w="3690" w:type="dxa"/>
            <w:tcBorders>
              <w:top w:val="single" w:sz="4" w:space="0" w:color="auto"/>
              <w:bottom w:val="single" w:sz="12" w:space="0" w:color="auto"/>
            </w:tcBorders>
            <w:vAlign w:val="center"/>
          </w:tcPr>
          <w:p w:rsidR="00E767BC" w:rsidRPr="00066C21" w:rsidRDefault="00E767BC" w:rsidP="002A558C">
            <w:pPr>
              <w:jc w:val="left"/>
              <w:rPr>
                <w:rFonts w:cs="Arial"/>
                <w:noProof/>
                <w:color w:val="000000" w:themeColor="text1"/>
                <w:sz w:val="22"/>
                <w:szCs w:val="22"/>
              </w:rPr>
            </w:pPr>
            <w:r w:rsidRPr="00066C21">
              <w:rPr>
                <w:rFonts w:cs="Arial"/>
                <w:noProof/>
                <w:color w:val="000000" w:themeColor="text1"/>
                <w:sz w:val="22"/>
                <w:szCs w:val="22"/>
              </w:rPr>
              <w:t>PSD Major Source Thresholds</w:t>
            </w:r>
          </w:p>
        </w:tc>
        <w:tc>
          <w:tcPr>
            <w:tcW w:w="810" w:type="dxa"/>
            <w:tcBorders>
              <w:top w:val="single" w:sz="4" w:space="0" w:color="auto"/>
              <w:bottom w:val="single" w:sz="12" w:space="0" w:color="auto"/>
            </w:tcBorders>
            <w:vAlign w:val="center"/>
          </w:tcPr>
          <w:p w:rsidR="00E767BC" w:rsidRPr="00066C21" w:rsidRDefault="00E767BC" w:rsidP="002A558C">
            <w:pPr>
              <w:jc w:val="center"/>
              <w:rPr>
                <w:rFonts w:cs="Arial"/>
                <w:noProof/>
                <w:color w:val="000000" w:themeColor="text1"/>
                <w:sz w:val="22"/>
                <w:szCs w:val="22"/>
              </w:rPr>
            </w:pPr>
            <w:r w:rsidRPr="00066C21">
              <w:rPr>
                <w:rFonts w:cs="Arial"/>
                <w:noProof/>
                <w:color w:val="000000" w:themeColor="text1"/>
                <w:sz w:val="22"/>
                <w:szCs w:val="22"/>
              </w:rPr>
              <w:t>250</w:t>
            </w:r>
          </w:p>
        </w:tc>
        <w:tc>
          <w:tcPr>
            <w:tcW w:w="810" w:type="dxa"/>
            <w:tcBorders>
              <w:top w:val="single" w:sz="4" w:space="0" w:color="auto"/>
              <w:bottom w:val="single" w:sz="12" w:space="0" w:color="auto"/>
            </w:tcBorders>
            <w:vAlign w:val="center"/>
          </w:tcPr>
          <w:p w:rsidR="00E767BC" w:rsidRPr="00066C21" w:rsidRDefault="00E767BC" w:rsidP="002A558C">
            <w:pPr>
              <w:jc w:val="center"/>
              <w:rPr>
                <w:rFonts w:cs="Arial"/>
                <w:noProof/>
                <w:color w:val="000000" w:themeColor="text1"/>
                <w:sz w:val="22"/>
                <w:szCs w:val="22"/>
              </w:rPr>
            </w:pPr>
            <w:r w:rsidRPr="00066C21">
              <w:rPr>
                <w:rFonts w:cs="Arial"/>
                <w:noProof/>
                <w:color w:val="000000" w:themeColor="text1"/>
                <w:sz w:val="22"/>
                <w:szCs w:val="22"/>
              </w:rPr>
              <w:t>250</w:t>
            </w:r>
          </w:p>
        </w:tc>
        <w:tc>
          <w:tcPr>
            <w:tcW w:w="827" w:type="dxa"/>
            <w:tcBorders>
              <w:top w:val="single" w:sz="4" w:space="0" w:color="auto"/>
              <w:bottom w:val="single" w:sz="12" w:space="0" w:color="auto"/>
            </w:tcBorders>
            <w:vAlign w:val="center"/>
          </w:tcPr>
          <w:p w:rsidR="00E767BC" w:rsidRPr="00066C21" w:rsidRDefault="00E767BC" w:rsidP="002A558C">
            <w:pPr>
              <w:jc w:val="center"/>
              <w:rPr>
                <w:rFonts w:cs="Arial"/>
                <w:noProof/>
                <w:color w:val="000000" w:themeColor="text1"/>
                <w:sz w:val="22"/>
                <w:szCs w:val="22"/>
              </w:rPr>
            </w:pPr>
            <w:r w:rsidRPr="00066C21">
              <w:rPr>
                <w:rFonts w:cs="Arial"/>
                <w:noProof/>
                <w:color w:val="000000" w:themeColor="text1"/>
                <w:sz w:val="22"/>
                <w:szCs w:val="22"/>
              </w:rPr>
              <w:t>250</w:t>
            </w:r>
          </w:p>
        </w:tc>
        <w:tc>
          <w:tcPr>
            <w:tcW w:w="703" w:type="dxa"/>
            <w:tcBorders>
              <w:top w:val="single" w:sz="4" w:space="0" w:color="auto"/>
              <w:bottom w:val="single" w:sz="12" w:space="0" w:color="auto"/>
            </w:tcBorders>
            <w:vAlign w:val="center"/>
          </w:tcPr>
          <w:p w:rsidR="00E767BC" w:rsidRPr="00066C21" w:rsidRDefault="00E767BC" w:rsidP="002A558C">
            <w:pPr>
              <w:jc w:val="center"/>
              <w:rPr>
                <w:rFonts w:cs="Arial"/>
                <w:noProof/>
                <w:color w:val="000000" w:themeColor="text1"/>
                <w:sz w:val="22"/>
                <w:szCs w:val="22"/>
              </w:rPr>
            </w:pPr>
            <w:r w:rsidRPr="00066C21">
              <w:rPr>
                <w:rFonts w:cs="Arial"/>
                <w:noProof/>
                <w:color w:val="000000" w:themeColor="text1"/>
                <w:sz w:val="22"/>
                <w:szCs w:val="22"/>
              </w:rPr>
              <w:t>250</w:t>
            </w:r>
          </w:p>
        </w:tc>
        <w:tc>
          <w:tcPr>
            <w:tcW w:w="720" w:type="dxa"/>
            <w:tcBorders>
              <w:top w:val="single" w:sz="4" w:space="0" w:color="auto"/>
              <w:bottom w:val="single" w:sz="12" w:space="0" w:color="auto"/>
            </w:tcBorders>
            <w:vAlign w:val="center"/>
          </w:tcPr>
          <w:p w:rsidR="00E767BC" w:rsidRPr="00066C21" w:rsidRDefault="00E767BC" w:rsidP="002A558C">
            <w:pPr>
              <w:jc w:val="center"/>
              <w:rPr>
                <w:rFonts w:cs="Arial"/>
                <w:noProof/>
                <w:color w:val="000000" w:themeColor="text1"/>
                <w:sz w:val="22"/>
                <w:szCs w:val="22"/>
              </w:rPr>
            </w:pPr>
            <w:r w:rsidRPr="00066C21">
              <w:rPr>
                <w:rFonts w:cs="Arial"/>
                <w:noProof/>
                <w:color w:val="000000" w:themeColor="text1"/>
                <w:sz w:val="22"/>
                <w:szCs w:val="22"/>
              </w:rPr>
              <w:t>250</w:t>
            </w:r>
          </w:p>
        </w:tc>
        <w:tc>
          <w:tcPr>
            <w:tcW w:w="810" w:type="dxa"/>
            <w:tcBorders>
              <w:top w:val="single" w:sz="4" w:space="0" w:color="auto"/>
              <w:bottom w:val="single" w:sz="12" w:space="0" w:color="auto"/>
            </w:tcBorders>
            <w:vAlign w:val="center"/>
          </w:tcPr>
          <w:p w:rsidR="00E767BC" w:rsidRPr="00066C21" w:rsidRDefault="00E767BC" w:rsidP="002A558C">
            <w:pPr>
              <w:jc w:val="center"/>
              <w:rPr>
                <w:rFonts w:cs="Arial"/>
                <w:noProof/>
                <w:color w:val="000000" w:themeColor="text1"/>
                <w:sz w:val="22"/>
                <w:szCs w:val="22"/>
              </w:rPr>
            </w:pPr>
            <w:r w:rsidRPr="00066C21">
              <w:rPr>
                <w:rFonts w:cs="Arial"/>
                <w:noProof/>
                <w:color w:val="000000" w:themeColor="text1"/>
                <w:sz w:val="22"/>
                <w:szCs w:val="22"/>
              </w:rPr>
              <w:t>250</w:t>
            </w:r>
          </w:p>
        </w:tc>
        <w:tc>
          <w:tcPr>
            <w:tcW w:w="1260" w:type="dxa"/>
            <w:tcBorders>
              <w:top w:val="single" w:sz="4" w:space="0" w:color="auto"/>
              <w:bottom w:val="single" w:sz="12" w:space="0" w:color="auto"/>
            </w:tcBorders>
            <w:vAlign w:val="center"/>
          </w:tcPr>
          <w:p w:rsidR="00E767BC" w:rsidRPr="00066C21" w:rsidRDefault="00E767BC" w:rsidP="002A558C">
            <w:pPr>
              <w:jc w:val="center"/>
              <w:rPr>
                <w:rFonts w:cs="Arial"/>
                <w:noProof/>
                <w:color w:val="000000" w:themeColor="text1"/>
                <w:sz w:val="22"/>
                <w:szCs w:val="22"/>
              </w:rPr>
            </w:pPr>
            <w:r w:rsidRPr="00066C21">
              <w:rPr>
                <w:rFonts w:cs="Arial"/>
                <w:noProof/>
                <w:color w:val="000000" w:themeColor="text1"/>
                <w:sz w:val="22"/>
                <w:szCs w:val="22"/>
              </w:rPr>
              <w:t>100,000</w:t>
            </w:r>
          </w:p>
        </w:tc>
      </w:tr>
      <w:tr w:rsidR="00E767BC" w:rsidRPr="00066C21" w:rsidTr="002A558C">
        <w:trPr>
          <w:trHeight w:val="456"/>
        </w:trPr>
        <w:tc>
          <w:tcPr>
            <w:tcW w:w="3690" w:type="dxa"/>
            <w:tcBorders>
              <w:top w:val="single" w:sz="12" w:space="0" w:color="auto"/>
            </w:tcBorders>
            <w:vAlign w:val="center"/>
          </w:tcPr>
          <w:p w:rsidR="00E767BC" w:rsidRPr="00066C21" w:rsidRDefault="00E767BC" w:rsidP="002A558C">
            <w:pPr>
              <w:jc w:val="left"/>
              <w:rPr>
                <w:rFonts w:cs="Arial"/>
                <w:noProof/>
                <w:color w:val="000000" w:themeColor="text1"/>
                <w:sz w:val="22"/>
                <w:szCs w:val="22"/>
              </w:rPr>
            </w:pPr>
            <w:r w:rsidRPr="00066C21">
              <w:rPr>
                <w:rFonts w:cs="Arial"/>
                <w:noProof/>
                <w:color w:val="000000" w:themeColor="text1"/>
                <w:sz w:val="22"/>
                <w:szCs w:val="22"/>
              </w:rPr>
              <w:t>PSD Major Source ? (Y/N)</w:t>
            </w:r>
          </w:p>
        </w:tc>
        <w:tc>
          <w:tcPr>
            <w:tcW w:w="810" w:type="dxa"/>
            <w:tcBorders>
              <w:top w:val="single" w:sz="12" w:space="0" w:color="auto"/>
            </w:tcBorders>
            <w:vAlign w:val="center"/>
          </w:tcPr>
          <w:p w:rsidR="00E767BC" w:rsidRPr="00066C21" w:rsidRDefault="00E767BC" w:rsidP="002A558C">
            <w:pPr>
              <w:jc w:val="center"/>
              <w:rPr>
                <w:rFonts w:cs="Arial"/>
                <w:noProof/>
                <w:color w:val="000000" w:themeColor="text1"/>
                <w:sz w:val="22"/>
                <w:szCs w:val="22"/>
              </w:rPr>
            </w:pPr>
            <w:r>
              <w:rPr>
                <w:rFonts w:cs="Arial"/>
                <w:noProof/>
                <w:color w:val="000000" w:themeColor="text1"/>
                <w:sz w:val="22"/>
                <w:szCs w:val="22"/>
              </w:rPr>
              <w:t>N</w:t>
            </w:r>
          </w:p>
        </w:tc>
        <w:tc>
          <w:tcPr>
            <w:tcW w:w="810" w:type="dxa"/>
            <w:tcBorders>
              <w:top w:val="single" w:sz="12" w:space="0" w:color="auto"/>
            </w:tcBorders>
            <w:vAlign w:val="center"/>
          </w:tcPr>
          <w:p w:rsidR="00E767BC" w:rsidRPr="00066C21" w:rsidRDefault="00E767BC" w:rsidP="002A558C">
            <w:pPr>
              <w:jc w:val="center"/>
              <w:rPr>
                <w:rFonts w:cs="Arial"/>
                <w:noProof/>
                <w:color w:val="000000" w:themeColor="text1"/>
                <w:sz w:val="22"/>
                <w:szCs w:val="22"/>
              </w:rPr>
            </w:pPr>
            <w:r>
              <w:rPr>
                <w:rFonts w:cs="Arial"/>
                <w:noProof/>
                <w:color w:val="000000" w:themeColor="text1"/>
                <w:sz w:val="22"/>
                <w:szCs w:val="22"/>
              </w:rPr>
              <w:t>N</w:t>
            </w:r>
          </w:p>
        </w:tc>
        <w:tc>
          <w:tcPr>
            <w:tcW w:w="827" w:type="dxa"/>
            <w:tcBorders>
              <w:top w:val="single" w:sz="12" w:space="0" w:color="auto"/>
            </w:tcBorders>
            <w:vAlign w:val="center"/>
          </w:tcPr>
          <w:p w:rsidR="00E767BC" w:rsidRPr="00066C21" w:rsidRDefault="00E767BC" w:rsidP="002A558C">
            <w:pPr>
              <w:jc w:val="center"/>
              <w:rPr>
                <w:rFonts w:cs="Arial"/>
                <w:noProof/>
                <w:color w:val="000000" w:themeColor="text1"/>
                <w:sz w:val="22"/>
                <w:szCs w:val="22"/>
              </w:rPr>
            </w:pPr>
            <w:r>
              <w:rPr>
                <w:rFonts w:cs="Arial"/>
                <w:noProof/>
                <w:color w:val="000000" w:themeColor="text1"/>
                <w:sz w:val="22"/>
                <w:szCs w:val="22"/>
              </w:rPr>
              <w:t>N</w:t>
            </w:r>
          </w:p>
        </w:tc>
        <w:tc>
          <w:tcPr>
            <w:tcW w:w="703" w:type="dxa"/>
            <w:tcBorders>
              <w:top w:val="single" w:sz="12" w:space="0" w:color="auto"/>
            </w:tcBorders>
            <w:vAlign w:val="center"/>
          </w:tcPr>
          <w:p w:rsidR="00E767BC" w:rsidRPr="00066C21" w:rsidRDefault="00E767BC" w:rsidP="002A558C">
            <w:pPr>
              <w:jc w:val="center"/>
              <w:rPr>
                <w:rFonts w:cs="Arial"/>
                <w:noProof/>
                <w:color w:val="000000" w:themeColor="text1"/>
                <w:sz w:val="22"/>
                <w:szCs w:val="22"/>
              </w:rPr>
            </w:pPr>
            <w:r>
              <w:rPr>
                <w:rFonts w:cs="Arial"/>
                <w:noProof/>
                <w:color w:val="000000" w:themeColor="text1"/>
                <w:sz w:val="22"/>
                <w:szCs w:val="22"/>
              </w:rPr>
              <w:t>N</w:t>
            </w:r>
          </w:p>
        </w:tc>
        <w:tc>
          <w:tcPr>
            <w:tcW w:w="720" w:type="dxa"/>
            <w:tcBorders>
              <w:top w:val="single" w:sz="12" w:space="0" w:color="auto"/>
            </w:tcBorders>
            <w:vAlign w:val="center"/>
          </w:tcPr>
          <w:p w:rsidR="00E767BC" w:rsidRPr="00066C21" w:rsidRDefault="00E767BC" w:rsidP="002A558C">
            <w:pPr>
              <w:jc w:val="center"/>
              <w:rPr>
                <w:rFonts w:cs="Arial"/>
                <w:noProof/>
                <w:color w:val="000000" w:themeColor="text1"/>
                <w:sz w:val="22"/>
                <w:szCs w:val="22"/>
              </w:rPr>
            </w:pPr>
            <w:r>
              <w:rPr>
                <w:rFonts w:cs="Arial"/>
                <w:noProof/>
                <w:color w:val="000000" w:themeColor="text1"/>
                <w:sz w:val="22"/>
                <w:szCs w:val="22"/>
              </w:rPr>
              <w:t>N</w:t>
            </w:r>
          </w:p>
        </w:tc>
        <w:tc>
          <w:tcPr>
            <w:tcW w:w="810" w:type="dxa"/>
            <w:tcBorders>
              <w:top w:val="single" w:sz="12" w:space="0" w:color="auto"/>
            </w:tcBorders>
            <w:vAlign w:val="center"/>
          </w:tcPr>
          <w:p w:rsidR="00E767BC" w:rsidRPr="00066C21" w:rsidRDefault="00E767BC" w:rsidP="002A558C">
            <w:pPr>
              <w:jc w:val="center"/>
              <w:rPr>
                <w:rFonts w:cs="Arial"/>
                <w:noProof/>
                <w:color w:val="000000" w:themeColor="text1"/>
                <w:sz w:val="22"/>
                <w:szCs w:val="22"/>
              </w:rPr>
            </w:pPr>
            <w:r>
              <w:rPr>
                <w:rFonts w:cs="Arial"/>
                <w:noProof/>
                <w:color w:val="000000" w:themeColor="text1"/>
                <w:sz w:val="22"/>
                <w:szCs w:val="22"/>
              </w:rPr>
              <w:t>N</w:t>
            </w:r>
          </w:p>
        </w:tc>
        <w:tc>
          <w:tcPr>
            <w:tcW w:w="1260" w:type="dxa"/>
            <w:tcBorders>
              <w:top w:val="single" w:sz="12" w:space="0" w:color="auto"/>
            </w:tcBorders>
            <w:vAlign w:val="center"/>
          </w:tcPr>
          <w:p w:rsidR="00E767BC" w:rsidRPr="00066C21" w:rsidRDefault="00E767BC" w:rsidP="002A558C">
            <w:pPr>
              <w:jc w:val="center"/>
              <w:rPr>
                <w:rFonts w:cs="Arial"/>
                <w:noProof/>
                <w:color w:val="000000" w:themeColor="text1"/>
                <w:sz w:val="22"/>
                <w:szCs w:val="22"/>
              </w:rPr>
            </w:pPr>
            <w:r>
              <w:rPr>
                <w:rFonts w:cs="Arial"/>
                <w:noProof/>
                <w:color w:val="000000" w:themeColor="text1"/>
                <w:sz w:val="22"/>
                <w:szCs w:val="22"/>
              </w:rPr>
              <w:t>N</w:t>
            </w:r>
          </w:p>
        </w:tc>
      </w:tr>
    </w:tbl>
    <w:p w:rsidR="00E767BC" w:rsidRPr="00066C21" w:rsidRDefault="00E767BC" w:rsidP="00E767BC">
      <w:pPr>
        <w:suppressAutoHyphens/>
        <w:ind w:left="720"/>
        <w:jc w:val="both"/>
        <w:rPr>
          <w:rFonts w:cs="Arial"/>
          <w:noProof/>
          <w:color w:val="000000" w:themeColor="text1"/>
        </w:rPr>
      </w:pPr>
    </w:p>
    <w:p w:rsidR="00E767BC" w:rsidRPr="00066C21" w:rsidRDefault="00E767BC" w:rsidP="00E767BC">
      <w:pPr>
        <w:suppressAutoHyphens/>
        <w:ind w:left="720"/>
        <w:jc w:val="both"/>
        <w:rPr>
          <w:rFonts w:cs="Arial"/>
          <w:noProof/>
          <w:color w:val="000000" w:themeColor="text1"/>
        </w:rPr>
      </w:pPr>
      <w:r w:rsidRPr="00066C21">
        <w:rPr>
          <w:rFonts w:cs="Arial"/>
          <w:noProof/>
          <w:color w:val="000000" w:themeColor="text1"/>
        </w:rPr>
        <w:t xml:space="preserve">As shown above, the facility </w:t>
      </w:r>
      <w:r w:rsidRPr="00066C21">
        <w:rPr>
          <w:rFonts w:cs="Arial"/>
          <w:noProof/>
          <w:color w:val="0000FF"/>
        </w:rPr>
        <w:t>is not</w:t>
      </w:r>
      <w:r w:rsidRPr="00066C21">
        <w:rPr>
          <w:rFonts w:cs="Arial"/>
          <w:noProof/>
        </w:rPr>
        <w:t xml:space="preserve"> </w:t>
      </w:r>
      <w:r w:rsidRPr="00066C21">
        <w:rPr>
          <w:rFonts w:cs="Arial"/>
          <w:noProof/>
          <w:color w:val="000000" w:themeColor="text1"/>
        </w:rPr>
        <w:t xml:space="preserve">an existing major source for PSD for at least one pollutant.  Therefore the </w:t>
      </w:r>
      <w:r w:rsidRPr="00066C21">
        <w:rPr>
          <w:rFonts w:cs="Arial"/>
          <w:noProof/>
        </w:rPr>
        <w:t xml:space="preserve">facility </w:t>
      </w:r>
      <w:r w:rsidRPr="00066C21">
        <w:rPr>
          <w:rFonts w:cs="Arial"/>
          <w:noProof/>
          <w:color w:val="0000FF"/>
        </w:rPr>
        <w:t xml:space="preserve">is not </w:t>
      </w:r>
      <w:r w:rsidRPr="00066C21">
        <w:rPr>
          <w:rFonts w:cs="Arial"/>
          <w:noProof/>
          <w:color w:val="000000" w:themeColor="text1"/>
        </w:rPr>
        <w:t xml:space="preserve">an existing </w:t>
      </w:r>
      <w:r w:rsidRPr="00066C21">
        <w:rPr>
          <w:rFonts w:cs="Arial"/>
          <w:noProof/>
        </w:rPr>
        <w:t>major source for PSD</w:t>
      </w:r>
      <w:r w:rsidRPr="00066C21">
        <w:rPr>
          <w:rFonts w:cs="Arial"/>
          <w:noProof/>
          <w:color w:val="000000" w:themeColor="text1"/>
        </w:rPr>
        <w:t>.</w:t>
      </w:r>
    </w:p>
    <w:p w:rsidR="00113C80" w:rsidRDefault="00113C80">
      <w:pPr>
        <w:suppressAutoHyphens/>
        <w:ind w:left="1440"/>
        <w:jc w:val="both"/>
        <w:rPr>
          <w:bCs/>
          <w:color w:val="FF0000"/>
          <w:spacing w:val="-3"/>
        </w:rPr>
      </w:pPr>
    </w:p>
    <w:p w:rsidR="00DB5DB6" w:rsidRDefault="00DB5DB6">
      <w:pPr>
        <w:pStyle w:val="Heading3"/>
      </w:pPr>
      <w:r>
        <w:t>Baseline Emissions (BE)</w:t>
      </w:r>
    </w:p>
    <w:p w:rsidR="00DB5DB6" w:rsidRDefault="00DB5DB6">
      <w:pPr>
        <w:autoSpaceDE w:val="0"/>
        <w:autoSpaceDN w:val="0"/>
        <w:adjustRightInd w:val="0"/>
        <w:ind w:left="864"/>
        <w:rPr>
          <w:color w:val="000000"/>
        </w:rPr>
      </w:pPr>
    </w:p>
    <w:p w:rsidR="00DB5DB6" w:rsidRDefault="00DB5DB6">
      <w:pPr>
        <w:pStyle w:val="Heading4"/>
      </w:pPr>
      <w:r>
        <w:t>Annual BE</w:t>
      </w:r>
    </w:p>
    <w:p w:rsidR="00DB5DB6" w:rsidRDefault="00DB5DB6">
      <w:pPr>
        <w:autoSpaceDE w:val="0"/>
        <w:autoSpaceDN w:val="0"/>
        <w:adjustRightInd w:val="0"/>
        <w:ind w:left="1296"/>
        <w:rPr>
          <w:color w:val="000000"/>
        </w:rPr>
      </w:pPr>
    </w:p>
    <w:p w:rsidR="00DB5DB6" w:rsidRDefault="00DB5DB6">
      <w:pPr>
        <w:ind w:left="1080"/>
      </w:pPr>
      <w:r>
        <w:t>BE = Pre-project Potential to Emit for:</w:t>
      </w:r>
    </w:p>
    <w:p w:rsidR="00DB5DB6" w:rsidRDefault="00DB5DB6">
      <w:pPr>
        <w:ind w:left="1080"/>
      </w:pPr>
    </w:p>
    <w:p w:rsidR="00DB5DB6" w:rsidRDefault="00DB5DB6">
      <w:pPr>
        <w:numPr>
          <w:ilvl w:val="0"/>
          <w:numId w:val="8"/>
        </w:numPr>
      </w:pPr>
      <w:r>
        <w:t>Any unit located at a non-Major Source,</w:t>
      </w:r>
    </w:p>
    <w:p w:rsidR="00DB5DB6" w:rsidRDefault="00DB5DB6">
      <w:pPr>
        <w:numPr>
          <w:ilvl w:val="0"/>
          <w:numId w:val="8"/>
        </w:numPr>
      </w:pPr>
      <w:r>
        <w:t>Any Highly-Utilized Emissions Unit, located at a Major Source,</w:t>
      </w:r>
    </w:p>
    <w:p w:rsidR="00DB5DB6" w:rsidRDefault="00DB5DB6">
      <w:pPr>
        <w:numPr>
          <w:ilvl w:val="0"/>
          <w:numId w:val="8"/>
        </w:numPr>
      </w:pPr>
      <w:r>
        <w:t>Any Fully-Offset Emissions Unit, located at a Major Source, or</w:t>
      </w:r>
    </w:p>
    <w:p w:rsidR="00DB5DB6" w:rsidRDefault="00DB5DB6">
      <w:pPr>
        <w:numPr>
          <w:ilvl w:val="0"/>
          <w:numId w:val="8"/>
        </w:numPr>
      </w:pPr>
      <w:r>
        <w:t>Any Clean Emissions Unit, located at a Major Source.</w:t>
      </w:r>
    </w:p>
    <w:p w:rsidR="00DB5DB6" w:rsidRDefault="00DB5DB6">
      <w:pPr>
        <w:ind w:left="1620"/>
      </w:pPr>
    </w:p>
    <w:p w:rsidR="00DB5DB6" w:rsidRDefault="00DB5DB6">
      <w:pPr>
        <w:ind w:left="1080"/>
      </w:pPr>
      <w:r>
        <w:t>otherwise,</w:t>
      </w:r>
    </w:p>
    <w:p w:rsidR="00DB5DB6" w:rsidRDefault="00DB5DB6">
      <w:pPr>
        <w:ind w:left="1080"/>
      </w:pPr>
    </w:p>
    <w:p w:rsidR="00DB5DB6" w:rsidRDefault="00DB5DB6">
      <w:pPr>
        <w:autoSpaceDE w:val="0"/>
        <w:autoSpaceDN w:val="0"/>
        <w:adjustRightInd w:val="0"/>
        <w:ind w:left="1080"/>
        <w:rPr>
          <w:color w:val="000000"/>
        </w:rPr>
      </w:pPr>
      <w:r>
        <w:rPr>
          <w:color w:val="000000"/>
          <w:szCs w:val="18"/>
        </w:rPr>
        <w:t>BE = Historic Actual Emissions (HAE), calculated pursuant to Section 3.22</w:t>
      </w:r>
    </w:p>
    <w:p w:rsidR="00DB5DB6" w:rsidRDefault="00DB5DB6">
      <w:pPr>
        <w:autoSpaceDE w:val="0"/>
        <w:autoSpaceDN w:val="0"/>
        <w:adjustRightInd w:val="0"/>
        <w:ind w:left="1080"/>
        <w:jc w:val="both"/>
        <w:rPr>
          <w:color w:val="0000FF"/>
        </w:rPr>
      </w:pPr>
    </w:p>
    <w:p w:rsidR="00DB5DB6" w:rsidRDefault="00DB5DB6">
      <w:pPr>
        <w:autoSpaceDE w:val="0"/>
        <w:autoSpaceDN w:val="0"/>
        <w:adjustRightInd w:val="0"/>
        <w:ind w:left="1080"/>
        <w:jc w:val="both"/>
        <w:rPr>
          <w:color w:val="0000FF"/>
        </w:rPr>
      </w:pPr>
      <w:r>
        <w:rPr>
          <w:color w:val="0000FF"/>
        </w:rPr>
        <w:t>Since this is a new facility, the annual BE is equal to zero.</w:t>
      </w:r>
    </w:p>
    <w:p w:rsidR="00DB5DB6" w:rsidRDefault="00DB5DB6">
      <w:pPr>
        <w:autoSpaceDE w:val="0"/>
        <w:autoSpaceDN w:val="0"/>
        <w:adjustRightInd w:val="0"/>
        <w:ind w:left="1080"/>
        <w:rPr>
          <w:color w:val="0000FF"/>
        </w:rPr>
      </w:pPr>
    </w:p>
    <w:p w:rsidR="00DB5DB6" w:rsidRDefault="00DB5DB6">
      <w:pPr>
        <w:autoSpaceDE w:val="0"/>
        <w:autoSpaceDN w:val="0"/>
        <w:adjustRightInd w:val="0"/>
        <w:ind w:left="864" w:firstLine="216"/>
        <w:rPr>
          <w:color w:val="FF0000"/>
        </w:rPr>
      </w:pPr>
      <w:r>
        <w:rPr>
          <w:color w:val="FF0000"/>
        </w:rPr>
        <w:t>OR</w:t>
      </w:r>
    </w:p>
    <w:p w:rsidR="00DB5DB6" w:rsidRDefault="00DB5DB6">
      <w:pPr>
        <w:autoSpaceDE w:val="0"/>
        <w:autoSpaceDN w:val="0"/>
        <w:adjustRightInd w:val="0"/>
        <w:ind w:left="504"/>
        <w:rPr>
          <w:color w:val="0000FF"/>
        </w:rPr>
      </w:pPr>
    </w:p>
    <w:p w:rsidR="00DB5DB6" w:rsidRDefault="00DB5DB6">
      <w:pPr>
        <w:autoSpaceDE w:val="0"/>
        <w:autoSpaceDN w:val="0"/>
        <w:adjustRightInd w:val="0"/>
        <w:ind w:left="1080"/>
        <w:jc w:val="both"/>
        <w:rPr>
          <w:color w:val="0000FF"/>
        </w:rPr>
      </w:pPr>
      <w:r>
        <w:rPr>
          <w:rFonts w:cs="Arial"/>
          <w:color w:val="0000FF"/>
        </w:rPr>
        <w:t>Since this unit is not located at a major source, BE = Pre-project Potential to Emit.</w:t>
      </w:r>
    </w:p>
    <w:p w:rsidR="00DB5DB6" w:rsidRDefault="00DB5DB6">
      <w:pPr>
        <w:autoSpaceDE w:val="0"/>
        <w:autoSpaceDN w:val="0"/>
        <w:adjustRightInd w:val="0"/>
        <w:ind w:left="864"/>
        <w:rPr>
          <w:color w:val="000000"/>
        </w:rPr>
      </w:pPr>
    </w:p>
    <w:tbl>
      <w:tblPr>
        <w:tblW w:w="0" w:type="auto"/>
        <w:tblInd w:w="14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890"/>
        <w:gridCol w:w="1116"/>
        <w:gridCol w:w="1116"/>
        <w:gridCol w:w="1116"/>
        <w:gridCol w:w="1116"/>
        <w:gridCol w:w="1116"/>
      </w:tblGrid>
      <w:tr w:rsidR="00DB5DB6" w:rsidTr="00D917EC">
        <w:trPr>
          <w:cantSplit/>
          <w:trHeight w:val="100"/>
        </w:trPr>
        <w:tc>
          <w:tcPr>
            <w:tcW w:w="7470" w:type="dxa"/>
            <w:gridSpan w:val="6"/>
            <w:tcBorders>
              <w:top w:val="double" w:sz="4" w:space="0" w:color="auto"/>
              <w:left w:val="double" w:sz="4" w:space="0" w:color="auto"/>
              <w:bottom w:val="nil"/>
              <w:right w:val="double" w:sz="4" w:space="0" w:color="auto"/>
            </w:tcBorders>
            <w:shd w:val="clear" w:color="auto" w:fill="auto"/>
          </w:tcPr>
          <w:p w:rsidR="00DB5DB6" w:rsidRDefault="00DB5DB6">
            <w:pPr>
              <w:spacing w:before="40" w:after="40"/>
              <w:jc w:val="center"/>
              <w:rPr>
                <w:rFonts w:cs="Arial"/>
                <w:b/>
                <w:snapToGrid w:val="0"/>
                <w:color w:val="000000"/>
              </w:rPr>
            </w:pPr>
            <w:r>
              <w:rPr>
                <w:rFonts w:cs="Arial"/>
                <w:b/>
                <w:bCs/>
                <w:color w:val="000000"/>
                <w:spacing w:val="-3"/>
              </w:rPr>
              <w:t xml:space="preserve">Annual BE (lb/year) </w:t>
            </w:r>
          </w:p>
        </w:tc>
      </w:tr>
      <w:tr w:rsidR="00DB5DB6" w:rsidTr="00D917EC">
        <w:trPr>
          <w:cantSplit/>
          <w:trHeight w:val="160"/>
        </w:trPr>
        <w:tc>
          <w:tcPr>
            <w:tcW w:w="1890" w:type="dxa"/>
            <w:tcBorders>
              <w:top w:val="double" w:sz="4" w:space="0" w:color="auto"/>
              <w:left w:val="double" w:sz="4" w:space="0" w:color="auto"/>
              <w:bottom w:val="double" w:sz="4" w:space="0" w:color="auto"/>
            </w:tcBorders>
            <w:shd w:val="clear" w:color="auto" w:fill="auto"/>
          </w:tcPr>
          <w:p w:rsidR="00DB5DB6" w:rsidRDefault="00DB5DB6">
            <w:pPr>
              <w:jc w:val="center"/>
            </w:pPr>
            <w:r>
              <w:t>Permit Number</w:t>
            </w:r>
          </w:p>
        </w:tc>
        <w:tc>
          <w:tcPr>
            <w:tcW w:w="1116" w:type="dxa"/>
            <w:tcBorders>
              <w:top w:val="double" w:sz="4" w:space="0" w:color="auto"/>
              <w:bottom w:val="double" w:sz="4" w:space="0" w:color="auto"/>
            </w:tcBorders>
            <w:shd w:val="clear" w:color="auto" w:fill="auto"/>
            <w:vAlign w:val="center"/>
          </w:tcPr>
          <w:p w:rsidR="00DB5DB6" w:rsidRDefault="00DB5D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rPr>
            </w:pPr>
            <w:r>
              <w:rPr>
                <w:b/>
                <w:bCs/>
              </w:rPr>
              <w:t>NO</w:t>
            </w:r>
            <w:r>
              <w:rPr>
                <w:b/>
                <w:bCs/>
                <w:vertAlign w:val="subscript"/>
              </w:rPr>
              <w:t>x</w:t>
            </w:r>
          </w:p>
        </w:tc>
        <w:tc>
          <w:tcPr>
            <w:tcW w:w="1116" w:type="dxa"/>
            <w:tcBorders>
              <w:top w:val="double" w:sz="4" w:space="0" w:color="auto"/>
              <w:bottom w:val="double" w:sz="4" w:space="0" w:color="auto"/>
              <w:right w:val="single" w:sz="6" w:space="0" w:color="auto"/>
            </w:tcBorders>
            <w:shd w:val="clear" w:color="auto" w:fill="auto"/>
            <w:vAlign w:val="center"/>
          </w:tcPr>
          <w:p w:rsidR="00DB5DB6" w:rsidRDefault="00DB5D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rPr>
            </w:pPr>
            <w:r>
              <w:rPr>
                <w:b/>
                <w:bCs/>
              </w:rPr>
              <w:t>SO</w:t>
            </w:r>
            <w:r>
              <w:rPr>
                <w:b/>
                <w:bCs/>
                <w:vertAlign w:val="subscript"/>
              </w:rPr>
              <w:t>x</w:t>
            </w:r>
          </w:p>
        </w:tc>
        <w:tc>
          <w:tcPr>
            <w:tcW w:w="1116" w:type="dxa"/>
            <w:tcBorders>
              <w:top w:val="double" w:sz="4" w:space="0" w:color="auto"/>
              <w:left w:val="single" w:sz="6" w:space="0" w:color="auto"/>
              <w:bottom w:val="double" w:sz="4" w:space="0" w:color="auto"/>
              <w:right w:val="single" w:sz="6" w:space="0" w:color="auto"/>
            </w:tcBorders>
            <w:shd w:val="clear" w:color="auto" w:fill="auto"/>
            <w:vAlign w:val="center"/>
          </w:tcPr>
          <w:p w:rsidR="00DB5DB6" w:rsidRDefault="00DB5D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vertAlign w:val="subscript"/>
              </w:rPr>
            </w:pPr>
            <w:r>
              <w:rPr>
                <w:b/>
                <w:bCs/>
              </w:rPr>
              <w:t>PM</w:t>
            </w:r>
            <w:r>
              <w:rPr>
                <w:b/>
                <w:bCs/>
                <w:vertAlign w:val="subscript"/>
              </w:rPr>
              <w:t>10</w:t>
            </w:r>
          </w:p>
        </w:tc>
        <w:tc>
          <w:tcPr>
            <w:tcW w:w="1116" w:type="dxa"/>
            <w:tcBorders>
              <w:top w:val="double" w:sz="4" w:space="0" w:color="auto"/>
              <w:left w:val="single" w:sz="6" w:space="0" w:color="auto"/>
              <w:bottom w:val="double" w:sz="4" w:space="0" w:color="auto"/>
              <w:right w:val="single" w:sz="6" w:space="0" w:color="auto"/>
            </w:tcBorders>
            <w:shd w:val="clear" w:color="auto" w:fill="auto"/>
            <w:vAlign w:val="center"/>
          </w:tcPr>
          <w:p w:rsidR="00DB5DB6" w:rsidRDefault="00DB5D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rPr>
            </w:pPr>
            <w:r>
              <w:rPr>
                <w:b/>
                <w:bCs/>
              </w:rPr>
              <w:t>CO</w:t>
            </w:r>
          </w:p>
        </w:tc>
        <w:tc>
          <w:tcPr>
            <w:tcW w:w="1116" w:type="dxa"/>
            <w:tcBorders>
              <w:top w:val="double" w:sz="4" w:space="0" w:color="auto"/>
              <w:left w:val="single" w:sz="6" w:space="0" w:color="auto"/>
              <w:bottom w:val="double" w:sz="4" w:space="0" w:color="auto"/>
              <w:right w:val="double" w:sz="4" w:space="0" w:color="auto"/>
            </w:tcBorders>
            <w:shd w:val="clear" w:color="auto" w:fill="auto"/>
            <w:vAlign w:val="center"/>
          </w:tcPr>
          <w:p w:rsidR="00DB5DB6" w:rsidRDefault="00DB5D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jc w:val="center"/>
              <w:rPr>
                <w:b/>
                <w:bCs/>
              </w:rPr>
            </w:pPr>
            <w:r>
              <w:rPr>
                <w:b/>
                <w:bCs/>
              </w:rPr>
              <w:t>VOC</w:t>
            </w:r>
          </w:p>
        </w:tc>
      </w:tr>
      <w:tr w:rsidR="00DB5DB6">
        <w:trPr>
          <w:cantSplit/>
          <w:trHeight w:val="247"/>
        </w:trPr>
        <w:tc>
          <w:tcPr>
            <w:tcW w:w="1890" w:type="dxa"/>
            <w:tcBorders>
              <w:top w:val="nil"/>
              <w:left w:val="double" w:sz="4" w:space="0" w:color="auto"/>
              <w:bottom w:val="double" w:sz="4" w:space="0" w:color="auto"/>
            </w:tcBorders>
          </w:tcPr>
          <w:p w:rsidR="00DB5DB6" w:rsidRDefault="00DB5DB6">
            <w:pPr>
              <w:jc w:val="center"/>
              <w:rPr>
                <w:color w:val="0000FF"/>
              </w:rPr>
            </w:pPr>
            <w:r>
              <w:rPr>
                <w:color w:val="0000FF"/>
              </w:rPr>
              <w:t>C-xxxx-xx</w:t>
            </w:r>
          </w:p>
        </w:tc>
        <w:tc>
          <w:tcPr>
            <w:tcW w:w="1116" w:type="dxa"/>
            <w:tcBorders>
              <w:top w:val="nil"/>
              <w:bottom w:val="double" w:sz="4" w:space="0" w:color="auto"/>
            </w:tcBorders>
          </w:tcPr>
          <w:p w:rsidR="00DB5DB6" w:rsidRDefault="00DB5DB6">
            <w:pPr>
              <w:jc w:val="center"/>
            </w:pPr>
            <w:r>
              <w:t>0</w:t>
            </w:r>
          </w:p>
        </w:tc>
        <w:tc>
          <w:tcPr>
            <w:tcW w:w="1116" w:type="dxa"/>
            <w:tcBorders>
              <w:top w:val="nil"/>
              <w:bottom w:val="double" w:sz="4" w:space="0" w:color="auto"/>
              <w:right w:val="single" w:sz="6" w:space="0" w:color="auto"/>
            </w:tcBorders>
          </w:tcPr>
          <w:p w:rsidR="00DB5DB6" w:rsidRDefault="00DB5DB6">
            <w:pPr>
              <w:jc w:val="center"/>
            </w:pPr>
            <w:r>
              <w:t>0</w:t>
            </w:r>
          </w:p>
        </w:tc>
        <w:tc>
          <w:tcPr>
            <w:tcW w:w="1116" w:type="dxa"/>
            <w:tcBorders>
              <w:top w:val="nil"/>
              <w:left w:val="single" w:sz="6" w:space="0" w:color="auto"/>
              <w:bottom w:val="double" w:sz="4" w:space="0" w:color="auto"/>
              <w:right w:val="single" w:sz="6" w:space="0" w:color="auto"/>
            </w:tcBorders>
          </w:tcPr>
          <w:p w:rsidR="00DB5DB6" w:rsidRDefault="00DB5DB6">
            <w:pPr>
              <w:jc w:val="center"/>
            </w:pPr>
            <w:r>
              <w:t>0</w:t>
            </w:r>
          </w:p>
        </w:tc>
        <w:tc>
          <w:tcPr>
            <w:tcW w:w="1116" w:type="dxa"/>
            <w:tcBorders>
              <w:top w:val="nil"/>
              <w:left w:val="single" w:sz="6" w:space="0" w:color="auto"/>
              <w:bottom w:val="double" w:sz="4" w:space="0" w:color="auto"/>
              <w:right w:val="single" w:sz="6" w:space="0" w:color="auto"/>
            </w:tcBorders>
          </w:tcPr>
          <w:p w:rsidR="00DB5DB6" w:rsidRDefault="00DB5DB6">
            <w:pPr>
              <w:jc w:val="center"/>
            </w:pPr>
            <w:r>
              <w:t>0</w:t>
            </w:r>
          </w:p>
        </w:tc>
        <w:tc>
          <w:tcPr>
            <w:tcW w:w="1116" w:type="dxa"/>
            <w:tcBorders>
              <w:top w:val="nil"/>
              <w:left w:val="single" w:sz="6" w:space="0" w:color="auto"/>
              <w:bottom w:val="double" w:sz="4" w:space="0" w:color="auto"/>
              <w:right w:val="double" w:sz="4" w:space="0" w:color="auto"/>
            </w:tcBorders>
          </w:tcPr>
          <w:p w:rsidR="00DB5DB6" w:rsidRDefault="00DB5DB6">
            <w:pPr>
              <w:jc w:val="center"/>
              <w:rPr>
                <w:color w:val="0000FF"/>
              </w:rPr>
            </w:pPr>
            <w:r>
              <w:rPr>
                <w:color w:val="0000FF"/>
              </w:rPr>
              <w:t>[  ]</w:t>
            </w:r>
          </w:p>
        </w:tc>
      </w:tr>
    </w:tbl>
    <w:p w:rsidR="00DB5DB6" w:rsidRDefault="00DB5DB6">
      <w:pPr>
        <w:pStyle w:val="EndnoteText"/>
        <w:rPr>
          <w:spacing w:val="0"/>
        </w:rPr>
      </w:pPr>
    </w:p>
    <w:p w:rsidR="00073999" w:rsidRPr="00073999" w:rsidRDefault="00073999" w:rsidP="00073999">
      <w:pPr>
        <w:pStyle w:val="Heading3"/>
        <w:rPr>
          <w:bCs/>
        </w:rPr>
      </w:pPr>
      <w:r w:rsidRPr="00073999">
        <w:lastRenderedPageBreak/>
        <w:t>SB 288 Major Modification</w:t>
      </w:r>
    </w:p>
    <w:p w:rsidR="00073999" w:rsidRPr="00073999" w:rsidRDefault="00073999" w:rsidP="00D266D5">
      <w:pPr>
        <w:pStyle w:val="Heading3"/>
        <w:numPr>
          <w:ilvl w:val="0"/>
          <w:numId w:val="0"/>
        </w:numPr>
        <w:ind w:left="720"/>
      </w:pPr>
    </w:p>
    <w:p w:rsidR="00073999" w:rsidRPr="00D266D5" w:rsidRDefault="00073999" w:rsidP="00113C80">
      <w:pPr>
        <w:pStyle w:val="Heading3"/>
        <w:numPr>
          <w:ilvl w:val="0"/>
          <w:numId w:val="0"/>
        </w:numPr>
        <w:ind w:left="720"/>
        <w:rPr>
          <w:b w:val="0"/>
          <w:bCs/>
        </w:rPr>
      </w:pPr>
      <w:r w:rsidRPr="00D266D5">
        <w:rPr>
          <w:b w:val="0"/>
        </w:rPr>
        <w:t>SB 288 Major Modification is defined in 40 CFR Part 51.165 as "</w:t>
      </w:r>
      <w:r w:rsidRPr="00D266D5">
        <w:rPr>
          <w:b w:val="0"/>
          <w:iCs/>
        </w:rPr>
        <w:t>any physical change in or change in the method of operation of a major stationary source that would result in a significant net emissions increase of any pollutant subject to regulation under the Act</w:t>
      </w:r>
      <w:r w:rsidRPr="00D266D5">
        <w:rPr>
          <w:b w:val="0"/>
        </w:rPr>
        <w:t>."</w:t>
      </w:r>
    </w:p>
    <w:p w:rsidR="00073999" w:rsidRPr="00D266D5" w:rsidRDefault="00073999" w:rsidP="00D266D5">
      <w:pPr>
        <w:pStyle w:val="Heading3"/>
        <w:numPr>
          <w:ilvl w:val="0"/>
          <w:numId w:val="0"/>
        </w:numPr>
        <w:ind w:left="720"/>
        <w:rPr>
          <w:b w:val="0"/>
        </w:rPr>
      </w:pPr>
    </w:p>
    <w:p w:rsidR="00DB5DB6" w:rsidRDefault="00073999">
      <w:pPr>
        <w:ind w:left="1080"/>
      </w:pPr>
      <w:r w:rsidRPr="00790A00">
        <w:t>As discussed in Section VII.C.5 above, this facility is not a major source for any of the pollutants addressed in this project; therefore, the project does not constitute a SB 288 Major Modification</w:t>
      </w:r>
    </w:p>
    <w:p w:rsidR="00113C80" w:rsidRDefault="00113C80">
      <w:pPr>
        <w:ind w:left="1080"/>
        <w:rPr>
          <w:b/>
          <w:bCs/>
        </w:rPr>
      </w:pPr>
    </w:p>
    <w:p w:rsidR="00DB5DB6" w:rsidRDefault="00DB5DB6">
      <w:pPr>
        <w:pStyle w:val="Heading3"/>
      </w:pPr>
      <w:r>
        <w:t>Federal Major Modification</w:t>
      </w:r>
    </w:p>
    <w:p w:rsidR="00DB5DB6" w:rsidRDefault="00DB5DB6">
      <w:pPr>
        <w:ind w:left="900"/>
        <w:rPr>
          <w:b/>
          <w:bCs/>
        </w:rPr>
      </w:pPr>
    </w:p>
    <w:p w:rsidR="00073999" w:rsidRDefault="00073999" w:rsidP="00073999">
      <w:pPr>
        <w:suppressAutoHyphens/>
        <w:ind w:left="720"/>
        <w:jc w:val="both"/>
        <w:rPr>
          <w:rFonts w:cs="Arial"/>
          <w:bCs/>
          <w:color w:val="FF0000"/>
          <w:spacing w:val="-3"/>
          <w:szCs w:val="24"/>
        </w:rPr>
      </w:pPr>
      <w:r w:rsidRPr="0040569B">
        <w:rPr>
          <w:rFonts w:cs="Arial"/>
          <w:color w:val="000000"/>
        </w:rPr>
        <w:t>District Rule 2201, Section 3.1</w:t>
      </w:r>
      <w:r>
        <w:rPr>
          <w:rFonts w:cs="Arial"/>
          <w:color w:val="000000"/>
        </w:rPr>
        <w:t>8</w:t>
      </w:r>
      <w:r w:rsidRPr="0040569B">
        <w:rPr>
          <w:rFonts w:cs="Arial"/>
          <w:color w:val="000000"/>
        </w:rPr>
        <w:t xml:space="preserve"> states that Federal Major Modifications are the same as “Major Modification” as defined in 40 CFR 51.165 and part D of Title I of the CAA.  </w:t>
      </w:r>
    </w:p>
    <w:p w:rsidR="00073999" w:rsidRDefault="00073999" w:rsidP="00073999">
      <w:pPr>
        <w:ind w:left="720"/>
        <w:jc w:val="both"/>
      </w:pPr>
    </w:p>
    <w:p w:rsidR="00DB5DB6" w:rsidRDefault="00073999">
      <w:pPr>
        <w:ind w:left="720"/>
        <w:rPr>
          <w:spacing w:val="-2"/>
          <w:szCs w:val="18"/>
        </w:rPr>
      </w:pPr>
      <w:r>
        <w:rPr>
          <w:rFonts w:cs="Arial"/>
          <w:noProof/>
          <w:color w:val="000000"/>
        </w:rPr>
        <w:t>Since this</w:t>
      </w:r>
      <w:r w:rsidRPr="00921786">
        <w:rPr>
          <w:rFonts w:cs="Arial"/>
          <w:noProof/>
          <w:color w:val="000000"/>
        </w:rPr>
        <w:t xml:space="preserve"> facility is not a Major Source for </w:t>
      </w:r>
      <w:r>
        <w:rPr>
          <w:rFonts w:cs="Arial"/>
          <w:noProof/>
          <w:color w:val="000000"/>
        </w:rPr>
        <w:t xml:space="preserve">any pollutants, </w:t>
      </w:r>
      <w:r w:rsidRPr="00921786">
        <w:rPr>
          <w:rFonts w:cs="Arial"/>
          <w:noProof/>
          <w:color w:val="000000"/>
        </w:rPr>
        <w:t>th</w:t>
      </w:r>
      <w:r>
        <w:rPr>
          <w:rFonts w:cs="Arial"/>
          <w:noProof/>
          <w:color w:val="000000"/>
        </w:rPr>
        <w:t>is</w:t>
      </w:r>
      <w:r w:rsidRPr="00921786">
        <w:rPr>
          <w:rFonts w:cs="Arial"/>
          <w:noProof/>
          <w:color w:val="000000"/>
        </w:rPr>
        <w:t xml:space="preserve"> project does not constitute a Federal Major Modification</w:t>
      </w:r>
      <w:r>
        <w:rPr>
          <w:rFonts w:cs="Arial"/>
          <w:noProof/>
          <w:color w:val="000000"/>
        </w:rPr>
        <w:t xml:space="preserve">.  </w:t>
      </w:r>
      <w:r w:rsidRPr="00921786">
        <w:rPr>
          <w:rFonts w:cs="Arial"/>
          <w:noProof/>
          <w:color w:val="000000"/>
        </w:rPr>
        <w:t xml:space="preserve">Additionally, </w:t>
      </w:r>
      <w:r>
        <w:rPr>
          <w:rFonts w:cs="Arial"/>
          <w:noProof/>
          <w:color w:val="000000"/>
        </w:rPr>
        <w:t>since</w:t>
      </w:r>
      <w:r w:rsidRPr="00921786">
        <w:rPr>
          <w:rFonts w:cs="Arial"/>
          <w:noProof/>
          <w:color w:val="000000"/>
        </w:rPr>
        <w:t xml:space="preserve"> the facility is not a major source for PM</w:t>
      </w:r>
      <w:r w:rsidRPr="00A96510">
        <w:rPr>
          <w:rFonts w:cs="Arial"/>
          <w:noProof/>
          <w:color w:val="000000"/>
          <w:vertAlign w:val="subscript"/>
        </w:rPr>
        <w:t>10</w:t>
      </w:r>
      <w:r w:rsidRPr="00921786">
        <w:rPr>
          <w:rFonts w:cs="Arial"/>
          <w:noProof/>
          <w:color w:val="000000"/>
        </w:rPr>
        <w:t xml:space="preserve"> (140,000 lb/year)</w:t>
      </w:r>
      <w:r>
        <w:rPr>
          <w:rFonts w:cs="Arial"/>
          <w:noProof/>
          <w:color w:val="000000"/>
        </w:rPr>
        <w:t>,</w:t>
      </w:r>
      <w:r w:rsidRPr="00921786">
        <w:rPr>
          <w:rFonts w:cs="Arial"/>
          <w:noProof/>
          <w:color w:val="000000"/>
        </w:rPr>
        <w:t xml:space="preserve"> it is not a major source for PM2.5 (200,000 lb/year).</w:t>
      </w:r>
    </w:p>
    <w:p w:rsidR="00113C80" w:rsidRPr="004F6F3C" w:rsidRDefault="00113C80" w:rsidP="00113C80">
      <w:pPr>
        <w:shd w:val="clear" w:color="auto" w:fill="FFFFFF" w:themeFill="background1"/>
        <w:ind w:left="720"/>
        <w:rPr>
          <w:spacing w:val="-2"/>
          <w:szCs w:val="18"/>
        </w:rPr>
      </w:pPr>
    </w:p>
    <w:p w:rsidR="00E767BC" w:rsidRPr="009448B7" w:rsidRDefault="00E767BC" w:rsidP="00E767BC">
      <w:pPr>
        <w:shd w:val="clear" w:color="auto" w:fill="FFFFFF" w:themeFill="background1"/>
        <w:autoSpaceDE w:val="0"/>
        <w:autoSpaceDN w:val="0"/>
        <w:adjustRightInd w:val="0"/>
        <w:ind w:left="1080" w:hanging="360"/>
        <w:jc w:val="both"/>
        <w:rPr>
          <w:b/>
          <w:bCs/>
          <w:color w:val="000000"/>
        </w:rPr>
      </w:pPr>
      <w:r w:rsidRPr="009448B7">
        <w:rPr>
          <w:b/>
          <w:bCs/>
          <w:color w:val="000000"/>
        </w:rPr>
        <w:t>9.</w:t>
      </w:r>
      <w:r w:rsidRPr="009448B7">
        <w:rPr>
          <w:b/>
          <w:bCs/>
          <w:color w:val="000000"/>
        </w:rPr>
        <w:tab/>
        <w:t>Rule 2410 – Prevention of Significant Deterioration (PSD) Applicability Determination</w:t>
      </w:r>
    </w:p>
    <w:p w:rsidR="00E767BC" w:rsidRPr="009448B7" w:rsidRDefault="00E767BC" w:rsidP="00E767BC">
      <w:pPr>
        <w:shd w:val="clear" w:color="auto" w:fill="FFFFFF" w:themeFill="background1"/>
        <w:suppressAutoHyphens/>
        <w:ind w:left="720"/>
        <w:jc w:val="both"/>
        <w:rPr>
          <w:rFonts w:cs="Arial"/>
          <w:noProof/>
          <w:color w:val="000000" w:themeColor="text1"/>
        </w:rPr>
      </w:pPr>
    </w:p>
    <w:p w:rsidR="00E767BC" w:rsidRPr="009448B7" w:rsidRDefault="00E767BC" w:rsidP="00E767BC">
      <w:pPr>
        <w:shd w:val="clear" w:color="auto" w:fill="FFFFFF" w:themeFill="background1"/>
        <w:suppressAutoHyphens/>
        <w:ind w:left="720"/>
        <w:jc w:val="both"/>
        <w:rPr>
          <w:rFonts w:cs="Arial"/>
          <w:noProof/>
        </w:rPr>
      </w:pPr>
      <w:r w:rsidRPr="009448B7">
        <w:rPr>
          <w:rFonts w:cs="Arial"/>
          <w:noProof/>
        </w:rPr>
        <w:t>Rule 2410 applies to pollutants for which the District is in attainment or for unclasssified, pollutants.  The pollutants addressed in the PSD applicability determination are listed as follows:</w:t>
      </w:r>
    </w:p>
    <w:p w:rsidR="00E767BC" w:rsidRPr="009448B7" w:rsidRDefault="00E767BC" w:rsidP="00E767BC">
      <w:pPr>
        <w:shd w:val="clear" w:color="auto" w:fill="FFFFFF" w:themeFill="background1"/>
        <w:suppressAutoHyphens/>
        <w:ind w:left="720"/>
        <w:jc w:val="both"/>
        <w:rPr>
          <w:rFonts w:cs="Arial"/>
          <w:noProof/>
          <w:sz w:val="12"/>
          <w:szCs w:val="12"/>
        </w:rPr>
      </w:pPr>
    </w:p>
    <w:p w:rsidR="00E767BC" w:rsidRPr="009448B7" w:rsidRDefault="00E767BC" w:rsidP="00E767BC">
      <w:pPr>
        <w:numPr>
          <w:ilvl w:val="0"/>
          <w:numId w:val="17"/>
        </w:numPr>
        <w:shd w:val="clear" w:color="auto" w:fill="FFFFFF" w:themeFill="background1"/>
        <w:suppressAutoHyphens/>
        <w:contextualSpacing/>
        <w:jc w:val="both"/>
        <w:rPr>
          <w:rFonts w:cs="Arial"/>
          <w:noProof/>
        </w:rPr>
      </w:pPr>
      <w:r w:rsidRPr="009448B7">
        <w:rPr>
          <w:rFonts w:cs="Arial"/>
          <w:noProof/>
        </w:rPr>
        <w:t>NO2 (as a primary pollutant)</w:t>
      </w:r>
    </w:p>
    <w:p w:rsidR="00E767BC" w:rsidRPr="009448B7" w:rsidRDefault="00E767BC" w:rsidP="00E767BC">
      <w:pPr>
        <w:numPr>
          <w:ilvl w:val="0"/>
          <w:numId w:val="17"/>
        </w:numPr>
        <w:shd w:val="clear" w:color="auto" w:fill="FFFFFF" w:themeFill="background1"/>
        <w:suppressAutoHyphens/>
        <w:contextualSpacing/>
        <w:jc w:val="both"/>
        <w:rPr>
          <w:rFonts w:cs="Arial"/>
          <w:noProof/>
        </w:rPr>
      </w:pPr>
      <w:r w:rsidRPr="009448B7">
        <w:rPr>
          <w:rFonts w:cs="Arial"/>
          <w:noProof/>
        </w:rPr>
        <w:t>SO2 (as a primary pollutant)</w:t>
      </w:r>
    </w:p>
    <w:p w:rsidR="00E767BC" w:rsidRPr="009448B7" w:rsidRDefault="00E767BC" w:rsidP="00E767BC">
      <w:pPr>
        <w:numPr>
          <w:ilvl w:val="0"/>
          <w:numId w:val="17"/>
        </w:numPr>
        <w:shd w:val="clear" w:color="auto" w:fill="FFFFFF" w:themeFill="background1"/>
        <w:suppressAutoHyphens/>
        <w:contextualSpacing/>
        <w:jc w:val="both"/>
        <w:rPr>
          <w:rFonts w:cs="Arial"/>
          <w:noProof/>
        </w:rPr>
      </w:pPr>
      <w:r w:rsidRPr="009448B7">
        <w:rPr>
          <w:rFonts w:cs="Arial"/>
          <w:noProof/>
        </w:rPr>
        <w:t>CO</w:t>
      </w:r>
    </w:p>
    <w:p w:rsidR="00E767BC" w:rsidRPr="009448B7" w:rsidRDefault="00E767BC" w:rsidP="00E767BC">
      <w:pPr>
        <w:numPr>
          <w:ilvl w:val="0"/>
          <w:numId w:val="17"/>
        </w:numPr>
        <w:shd w:val="clear" w:color="auto" w:fill="FFFFFF" w:themeFill="background1"/>
        <w:suppressAutoHyphens/>
        <w:contextualSpacing/>
        <w:jc w:val="both"/>
        <w:rPr>
          <w:rFonts w:cs="Arial"/>
          <w:noProof/>
        </w:rPr>
      </w:pPr>
      <w:r w:rsidRPr="009448B7">
        <w:rPr>
          <w:rFonts w:cs="Arial"/>
          <w:noProof/>
        </w:rPr>
        <w:t>PM</w:t>
      </w:r>
    </w:p>
    <w:p w:rsidR="00E767BC" w:rsidRPr="009448B7" w:rsidRDefault="00E767BC" w:rsidP="00E767BC">
      <w:pPr>
        <w:numPr>
          <w:ilvl w:val="0"/>
          <w:numId w:val="17"/>
        </w:numPr>
        <w:shd w:val="clear" w:color="auto" w:fill="FFFFFF" w:themeFill="background1"/>
        <w:suppressAutoHyphens/>
        <w:contextualSpacing/>
        <w:jc w:val="both"/>
        <w:rPr>
          <w:rFonts w:cs="Arial"/>
          <w:noProof/>
        </w:rPr>
      </w:pPr>
      <w:r w:rsidRPr="009448B7">
        <w:rPr>
          <w:rFonts w:cs="Arial"/>
          <w:noProof/>
        </w:rPr>
        <w:t>PM10</w:t>
      </w:r>
    </w:p>
    <w:p w:rsidR="00E767BC" w:rsidRPr="009448B7" w:rsidRDefault="00E767BC" w:rsidP="00E767BC">
      <w:pPr>
        <w:numPr>
          <w:ilvl w:val="0"/>
          <w:numId w:val="17"/>
        </w:numPr>
        <w:shd w:val="clear" w:color="auto" w:fill="FFFFFF" w:themeFill="background1"/>
        <w:suppressAutoHyphens/>
        <w:contextualSpacing/>
        <w:jc w:val="both"/>
        <w:rPr>
          <w:rFonts w:cs="Arial"/>
          <w:noProof/>
        </w:rPr>
      </w:pPr>
      <w:r w:rsidRPr="009448B7">
        <w:rPr>
          <w:rFonts w:cs="Arial"/>
          <w:noProof/>
        </w:rPr>
        <w:t>Greenhouse gases (GHG):  CO2, N2O, CH4, HFCs, PFCs, and SF6</w:t>
      </w:r>
    </w:p>
    <w:p w:rsidR="00E767BC" w:rsidRPr="009448B7" w:rsidRDefault="00E767BC" w:rsidP="00E767BC">
      <w:pPr>
        <w:shd w:val="clear" w:color="auto" w:fill="FFFFFF" w:themeFill="background1"/>
        <w:suppressAutoHyphens/>
        <w:ind w:left="720"/>
        <w:jc w:val="both"/>
        <w:rPr>
          <w:rFonts w:cs="Arial"/>
          <w:noProof/>
        </w:rPr>
      </w:pPr>
    </w:p>
    <w:p w:rsidR="00E767BC" w:rsidRPr="009448B7" w:rsidRDefault="00E767BC" w:rsidP="00E767BC">
      <w:pPr>
        <w:shd w:val="clear" w:color="auto" w:fill="FFFFFF" w:themeFill="background1"/>
        <w:suppressAutoHyphens/>
        <w:ind w:left="720"/>
        <w:jc w:val="both"/>
        <w:rPr>
          <w:rFonts w:cs="Arial"/>
          <w:noProof/>
        </w:rPr>
      </w:pPr>
      <w:r w:rsidRPr="009448B7">
        <w:rPr>
          <w:rFonts w:cs="Arial"/>
          <w:noProof/>
        </w:rPr>
        <w:t>The first step of this PSD evaluation consists of determining whether the facility is an existing PSD Major Source or not (See Section Vll.C.5 of this document).</w:t>
      </w:r>
    </w:p>
    <w:p w:rsidR="00E767BC" w:rsidRPr="009448B7" w:rsidRDefault="00E767BC" w:rsidP="00E767BC">
      <w:pPr>
        <w:shd w:val="clear" w:color="auto" w:fill="FFFFFF" w:themeFill="background1"/>
        <w:suppressAutoHyphens/>
        <w:ind w:left="720"/>
        <w:jc w:val="both"/>
        <w:rPr>
          <w:rFonts w:cs="Arial"/>
          <w:noProof/>
        </w:rPr>
      </w:pPr>
    </w:p>
    <w:p w:rsidR="00E767BC" w:rsidRPr="009448B7" w:rsidRDefault="00E767BC" w:rsidP="00E767BC">
      <w:pPr>
        <w:shd w:val="clear" w:color="auto" w:fill="FFFFFF" w:themeFill="background1"/>
        <w:suppressAutoHyphens/>
        <w:ind w:left="720"/>
        <w:jc w:val="both"/>
        <w:rPr>
          <w:rFonts w:cs="Arial"/>
          <w:noProof/>
        </w:rPr>
      </w:pPr>
      <w:r w:rsidRPr="009448B7">
        <w:rPr>
          <w:rFonts w:cs="Arial"/>
          <w:noProof/>
        </w:rPr>
        <w:t>In the case the facility is an existing PSD Major Source, the second step of the PSD evaluation is to determine if the project results in a PSD significant increase.</w:t>
      </w:r>
    </w:p>
    <w:p w:rsidR="00E767BC" w:rsidRPr="009448B7" w:rsidRDefault="00E767BC" w:rsidP="00E767BC">
      <w:pPr>
        <w:shd w:val="clear" w:color="auto" w:fill="FFFFFF" w:themeFill="background1"/>
        <w:suppressAutoHyphens/>
        <w:ind w:left="720"/>
        <w:jc w:val="both"/>
        <w:rPr>
          <w:rFonts w:cs="Arial"/>
          <w:noProof/>
        </w:rPr>
      </w:pPr>
    </w:p>
    <w:p w:rsidR="00E767BC" w:rsidRPr="009448B7" w:rsidRDefault="00E767BC" w:rsidP="00E767BC">
      <w:pPr>
        <w:shd w:val="clear" w:color="auto" w:fill="FFFFFF" w:themeFill="background1"/>
        <w:suppressAutoHyphens/>
        <w:ind w:left="720"/>
        <w:jc w:val="both"/>
        <w:rPr>
          <w:rFonts w:cs="Arial"/>
          <w:noProof/>
        </w:rPr>
      </w:pPr>
      <w:r w:rsidRPr="009448B7">
        <w:rPr>
          <w:rFonts w:cs="Arial"/>
          <w:noProof/>
        </w:rPr>
        <w:t>In the case the facility is NOT an existing PSD Major Source but is an existing source, the second step of the PSD evaluation is to determine if the project, by itself, would be a PSD major source.</w:t>
      </w:r>
    </w:p>
    <w:p w:rsidR="00E767BC" w:rsidRPr="009448B7" w:rsidRDefault="00E767BC" w:rsidP="00E767BC">
      <w:pPr>
        <w:shd w:val="clear" w:color="auto" w:fill="FFFFFF" w:themeFill="background1"/>
        <w:suppressAutoHyphens/>
        <w:ind w:left="720"/>
        <w:jc w:val="both"/>
        <w:rPr>
          <w:rFonts w:cs="Arial"/>
          <w:noProof/>
        </w:rPr>
      </w:pPr>
    </w:p>
    <w:p w:rsidR="00E767BC" w:rsidRPr="009448B7" w:rsidRDefault="00E767BC" w:rsidP="00E767BC">
      <w:pPr>
        <w:shd w:val="clear" w:color="auto" w:fill="FFFFFF" w:themeFill="background1"/>
        <w:suppressAutoHyphens/>
        <w:ind w:left="720"/>
        <w:jc w:val="both"/>
        <w:rPr>
          <w:rFonts w:cs="Arial"/>
          <w:noProof/>
        </w:rPr>
      </w:pPr>
      <w:r w:rsidRPr="009448B7">
        <w:rPr>
          <w:rFonts w:cs="Arial"/>
          <w:noProof/>
        </w:rPr>
        <w:t>In the case the facility is new source, the second step of the PSD evaluation is to determine if this new facility will become a new PSD major Source as a result of the project and if so, to determine which pollutant will result in a PSD significant increase.</w:t>
      </w:r>
    </w:p>
    <w:p w:rsidR="00E767BC" w:rsidRPr="009448B7" w:rsidRDefault="00E767BC" w:rsidP="00E767BC">
      <w:pPr>
        <w:shd w:val="clear" w:color="auto" w:fill="FFFFFF" w:themeFill="background1"/>
        <w:suppressAutoHyphens/>
        <w:ind w:left="720"/>
        <w:jc w:val="both"/>
        <w:rPr>
          <w:rFonts w:cs="Arial"/>
          <w:noProof/>
        </w:rPr>
      </w:pPr>
    </w:p>
    <w:p w:rsidR="00E767BC" w:rsidRPr="009448B7" w:rsidRDefault="00E767BC" w:rsidP="00E767BC">
      <w:pPr>
        <w:shd w:val="clear" w:color="auto" w:fill="FFFFFF" w:themeFill="background1"/>
        <w:suppressAutoHyphens/>
        <w:ind w:left="1080"/>
        <w:contextualSpacing/>
        <w:jc w:val="both"/>
        <w:rPr>
          <w:rFonts w:cs="Arial"/>
          <w:noProof/>
          <w:color w:val="000000" w:themeColor="text1"/>
        </w:rPr>
      </w:pPr>
    </w:p>
    <w:p w:rsidR="00E767BC" w:rsidRPr="009448B7" w:rsidRDefault="00E767BC" w:rsidP="00E767BC">
      <w:pPr>
        <w:numPr>
          <w:ilvl w:val="0"/>
          <w:numId w:val="16"/>
        </w:numPr>
        <w:shd w:val="clear" w:color="auto" w:fill="FFFFFF" w:themeFill="background1"/>
        <w:suppressAutoHyphens/>
        <w:ind w:left="1080"/>
        <w:contextualSpacing/>
        <w:jc w:val="both"/>
        <w:rPr>
          <w:rFonts w:cs="Arial"/>
          <w:b/>
          <w:noProof/>
        </w:rPr>
      </w:pPr>
      <w:r w:rsidRPr="009448B7">
        <w:rPr>
          <w:rFonts w:cs="Arial"/>
          <w:b/>
          <w:noProof/>
        </w:rPr>
        <w:t xml:space="preserve">Potential to Emit for New or </w:t>
      </w:r>
      <w:r w:rsidRPr="009448B7">
        <w:rPr>
          <w:rFonts w:cs="Arial"/>
          <w:b/>
          <w:noProof/>
          <w:u w:val="single"/>
        </w:rPr>
        <w:t>Modified</w:t>
      </w:r>
      <w:r w:rsidRPr="009448B7">
        <w:rPr>
          <w:rFonts w:cs="Arial"/>
          <w:b/>
          <w:noProof/>
        </w:rPr>
        <w:t xml:space="preserve"> Emission Units vs PSD Major Source Thresholds</w:t>
      </w:r>
    </w:p>
    <w:p w:rsidR="00E767BC" w:rsidRPr="000643CB" w:rsidRDefault="00E767BC" w:rsidP="00E767BC">
      <w:pPr>
        <w:suppressAutoHyphens/>
        <w:ind w:left="1080"/>
        <w:jc w:val="both"/>
        <w:rPr>
          <w:rFonts w:cs="Arial"/>
          <w:noProof/>
          <w:color w:val="4F81BD" w:themeColor="accent1"/>
        </w:rPr>
      </w:pPr>
    </w:p>
    <w:p w:rsidR="00E767BC" w:rsidRPr="009448B7" w:rsidRDefault="00E767BC" w:rsidP="00E767BC">
      <w:pPr>
        <w:suppressAutoHyphens/>
        <w:ind w:left="1080"/>
        <w:contextualSpacing/>
        <w:jc w:val="both"/>
        <w:rPr>
          <w:rFonts w:cs="Arial"/>
          <w:noProof/>
        </w:rPr>
      </w:pPr>
      <w:r w:rsidRPr="009448B7">
        <w:rPr>
          <w:rFonts w:cs="Arial"/>
          <w:noProof/>
        </w:rPr>
        <w:t xml:space="preserve">As a screening tool, the project potential to emit from all new and modified units is compared to the PSD major source threshold, and if total project potential to emit from all new and modified units is below this threshold, no futher analysis will be needed.  </w:t>
      </w:r>
    </w:p>
    <w:p w:rsidR="00E767BC" w:rsidRPr="009448B7" w:rsidRDefault="00E767BC" w:rsidP="00E767BC">
      <w:pPr>
        <w:suppressAutoHyphens/>
        <w:ind w:left="1080"/>
        <w:jc w:val="both"/>
        <w:rPr>
          <w:rFonts w:cs="Arial"/>
          <w:noProof/>
        </w:rPr>
      </w:pPr>
    </w:p>
    <w:p w:rsidR="00E767BC" w:rsidRDefault="00E767BC" w:rsidP="00E767BC">
      <w:pPr>
        <w:suppressAutoHyphens/>
        <w:ind w:left="1080"/>
        <w:jc w:val="both"/>
        <w:rPr>
          <w:bCs/>
          <w:iCs/>
        </w:rPr>
      </w:pPr>
      <w:r w:rsidRPr="009448B7">
        <w:rPr>
          <w:rFonts w:cs="Arial"/>
          <w:noProof/>
        </w:rPr>
        <w:t xml:space="preserve">The facility or the equipment evaluated under this project is not listed as one of the categories specified in </w:t>
      </w:r>
      <w:r w:rsidRPr="009448B7">
        <w:rPr>
          <w:bCs/>
          <w:iCs/>
        </w:rPr>
        <w:t>40 CFR 52.21 (b)(1)(i).  Therefore the following PSD Major Source thresholds are applicable.</w:t>
      </w:r>
    </w:p>
    <w:p w:rsidR="00E767BC" w:rsidRPr="000643CB" w:rsidRDefault="00E767BC" w:rsidP="00E767BC">
      <w:pPr>
        <w:suppressAutoHyphens/>
        <w:ind w:left="1080"/>
        <w:jc w:val="both"/>
        <w:rPr>
          <w:rFonts w:cs="Arial"/>
          <w:i/>
          <w:noProof/>
        </w:rPr>
      </w:pPr>
      <w:r>
        <w:rPr>
          <w:bCs/>
          <w:i/>
          <w:iCs/>
          <w:color w:val="FF0000"/>
        </w:rPr>
        <w:t>(</w:t>
      </w:r>
      <w:r w:rsidRPr="000643CB">
        <w:rPr>
          <w:bCs/>
          <w:i/>
          <w:iCs/>
          <w:color w:val="FF0000"/>
        </w:rPr>
        <w:t>Enter VOC emissions</w:t>
      </w:r>
      <w:r>
        <w:rPr>
          <w:bCs/>
          <w:i/>
          <w:iCs/>
          <w:color w:val="FF0000"/>
        </w:rPr>
        <w:t>)</w:t>
      </w:r>
    </w:p>
    <w:p w:rsidR="00E767BC" w:rsidRPr="009448B7" w:rsidRDefault="00E767BC" w:rsidP="00E767BC">
      <w:pPr>
        <w:suppressAutoHyphens/>
        <w:ind w:left="1080"/>
        <w:jc w:val="both"/>
        <w:rPr>
          <w:rFonts w:cs="Arial"/>
          <w:noProof/>
        </w:rPr>
      </w:pPr>
    </w:p>
    <w:tbl>
      <w:tblPr>
        <w:tblStyle w:val="TableGrid"/>
        <w:tblW w:w="9360" w:type="dxa"/>
        <w:tblInd w:w="118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3420"/>
        <w:gridCol w:w="810"/>
        <w:gridCol w:w="810"/>
        <w:gridCol w:w="827"/>
        <w:gridCol w:w="703"/>
        <w:gridCol w:w="720"/>
        <w:gridCol w:w="810"/>
        <w:gridCol w:w="1260"/>
      </w:tblGrid>
      <w:tr w:rsidR="00E767BC" w:rsidRPr="009448B7" w:rsidTr="00D917EC">
        <w:trPr>
          <w:trHeight w:val="618"/>
        </w:trPr>
        <w:tc>
          <w:tcPr>
            <w:tcW w:w="9360" w:type="dxa"/>
            <w:gridSpan w:val="8"/>
            <w:tcBorders>
              <w:top w:val="double" w:sz="4" w:space="0" w:color="auto"/>
              <w:bottom w:val="double" w:sz="4" w:space="0" w:color="auto"/>
            </w:tcBorders>
            <w:shd w:val="clear" w:color="auto" w:fill="auto"/>
            <w:vAlign w:val="center"/>
          </w:tcPr>
          <w:p w:rsidR="00E767BC" w:rsidRPr="009448B7" w:rsidRDefault="00E767BC" w:rsidP="002A558C">
            <w:pPr>
              <w:rPr>
                <w:sz w:val="22"/>
                <w:szCs w:val="22"/>
              </w:rPr>
            </w:pPr>
            <w:r w:rsidRPr="009448B7">
              <w:rPr>
                <w:sz w:val="22"/>
                <w:szCs w:val="22"/>
              </w:rPr>
              <w:t>PSD Major Source Determination: Potential to Emit</w:t>
            </w:r>
          </w:p>
          <w:p w:rsidR="00E767BC" w:rsidRPr="009448B7" w:rsidRDefault="00E767BC" w:rsidP="002A558C">
            <w:pPr>
              <w:rPr>
                <w:rFonts w:cs="Arial"/>
                <w:noProof/>
                <w:color w:val="000000" w:themeColor="text1"/>
                <w:sz w:val="22"/>
                <w:szCs w:val="22"/>
              </w:rPr>
            </w:pPr>
            <w:r w:rsidRPr="009448B7">
              <w:rPr>
                <w:sz w:val="22"/>
                <w:szCs w:val="22"/>
              </w:rPr>
              <w:t>(tons/year)</w:t>
            </w:r>
          </w:p>
        </w:tc>
      </w:tr>
      <w:tr w:rsidR="00E767BC" w:rsidRPr="009448B7" w:rsidTr="00D917EC">
        <w:trPr>
          <w:trHeight w:val="447"/>
        </w:trPr>
        <w:tc>
          <w:tcPr>
            <w:tcW w:w="3420" w:type="dxa"/>
            <w:tcBorders>
              <w:top w:val="double" w:sz="4" w:space="0" w:color="auto"/>
              <w:bottom w:val="single" w:sz="12" w:space="0" w:color="auto"/>
            </w:tcBorders>
            <w:shd w:val="clear" w:color="auto" w:fill="auto"/>
            <w:vAlign w:val="center"/>
          </w:tcPr>
          <w:p w:rsidR="00E767BC" w:rsidRPr="009448B7" w:rsidRDefault="00E767BC" w:rsidP="002A558C">
            <w:pPr>
              <w:rPr>
                <w:rFonts w:cs="Arial"/>
                <w:noProof/>
                <w:color w:val="000000" w:themeColor="text1"/>
                <w:sz w:val="22"/>
                <w:szCs w:val="22"/>
              </w:rPr>
            </w:pPr>
          </w:p>
        </w:tc>
        <w:tc>
          <w:tcPr>
            <w:tcW w:w="810" w:type="dxa"/>
            <w:tcBorders>
              <w:top w:val="double" w:sz="4" w:space="0" w:color="auto"/>
              <w:bottom w:val="single" w:sz="12" w:space="0" w:color="auto"/>
            </w:tcBorders>
            <w:shd w:val="clear" w:color="auto" w:fill="auto"/>
            <w:vAlign w:val="center"/>
          </w:tcPr>
          <w:p w:rsidR="00E767BC" w:rsidRPr="009448B7" w:rsidRDefault="00E767BC" w:rsidP="002A558C">
            <w:pPr>
              <w:rPr>
                <w:rFonts w:cs="Arial"/>
                <w:noProof/>
                <w:color w:val="000000" w:themeColor="text1"/>
                <w:sz w:val="22"/>
                <w:szCs w:val="22"/>
              </w:rPr>
            </w:pPr>
            <w:r w:rsidRPr="009448B7">
              <w:rPr>
                <w:rFonts w:cs="Arial"/>
                <w:noProof/>
                <w:color w:val="000000" w:themeColor="text1"/>
                <w:sz w:val="22"/>
                <w:szCs w:val="22"/>
              </w:rPr>
              <w:t>NO2</w:t>
            </w:r>
          </w:p>
        </w:tc>
        <w:tc>
          <w:tcPr>
            <w:tcW w:w="810" w:type="dxa"/>
            <w:tcBorders>
              <w:top w:val="double" w:sz="4" w:space="0" w:color="auto"/>
              <w:bottom w:val="single" w:sz="12" w:space="0" w:color="auto"/>
            </w:tcBorders>
            <w:shd w:val="clear" w:color="auto" w:fill="auto"/>
            <w:vAlign w:val="center"/>
          </w:tcPr>
          <w:p w:rsidR="00E767BC" w:rsidRPr="009448B7" w:rsidRDefault="00E767BC" w:rsidP="002A558C">
            <w:pPr>
              <w:rPr>
                <w:rFonts w:cs="Arial"/>
                <w:noProof/>
                <w:color w:val="000000" w:themeColor="text1"/>
                <w:sz w:val="22"/>
                <w:szCs w:val="22"/>
              </w:rPr>
            </w:pPr>
            <w:r w:rsidRPr="009448B7">
              <w:rPr>
                <w:rFonts w:cs="Arial"/>
                <w:noProof/>
                <w:color w:val="000000" w:themeColor="text1"/>
                <w:sz w:val="22"/>
                <w:szCs w:val="22"/>
              </w:rPr>
              <w:t>VOC</w:t>
            </w:r>
          </w:p>
        </w:tc>
        <w:tc>
          <w:tcPr>
            <w:tcW w:w="827" w:type="dxa"/>
            <w:tcBorders>
              <w:top w:val="double" w:sz="4" w:space="0" w:color="auto"/>
              <w:bottom w:val="single" w:sz="12" w:space="0" w:color="auto"/>
            </w:tcBorders>
            <w:shd w:val="clear" w:color="auto" w:fill="auto"/>
            <w:vAlign w:val="center"/>
          </w:tcPr>
          <w:p w:rsidR="00E767BC" w:rsidRPr="009448B7" w:rsidRDefault="00E767BC" w:rsidP="002A558C">
            <w:pPr>
              <w:rPr>
                <w:rFonts w:cs="Arial"/>
                <w:noProof/>
                <w:color w:val="000000" w:themeColor="text1"/>
                <w:sz w:val="22"/>
                <w:szCs w:val="22"/>
              </w:rPr>
            </w:pPr>
            <w:r w:rsidRPr="009448B7">
              <w:rPr>
                <w:rFonts w:cs="Arial"/>
                <w:noProof/>
                <w:color w:val="000000" w:themeColor="text1"/>
                <w:sz w:val="22"/>
                <w:szCs w:val="22"/>
              </w:rPr>
              <w:t>SO2</w:t>
            </w:r>
          </w:p>
        </w:tc>
        <w:tc>
          <w:tcPr>
            <w:tcW w:w="703" w:type="dxa"/>
            <w:tcBorders>
              <w:top w:val="double" w:sz="4" w:space="0" w:color="auto"/>
              <w:bottom w:val="single" w:sz="12" w:space="0" w:color="auto"/>
            </w:tcBorders>
            <w:shd w:val="clear" w:color="auto" w:fill="auto"/>
            <w:vAlign w:val="center"/>
          </w:tcPr>
          <w:p w:rsidR="00E767BC" w:rsidRPr="009448B7" w:rsidRDefault="00E767BC" w:rsidP="002A558C">
            <w:pPr>
              <w:rPr>
                <w:rFonts w:cs="Arial"/>
                <w:noProof/>
                <w:color w:val="000000" w:themeColor="text1"/>
                <w:sz w:val="22"/>
                <w:szCs w:val="22"/>
              </w:rPr>
            </w:pPr>
            <w:r w:rsidRPr="009448B7">
              <w:rPr>
                <w:rFonts w:cs="Arial"/>
                <w:noProof/>
                <w:color w:val="000000" w:themeColor="text1"/>
                <w:sz w:val="22"/>
                <w:szCs w:val="22"/>
              </w:rPr>
              <w:t>CO</w:t>
            </w:r>
          </w:p>
        </w:tc>
        <w:tc>
          <w:tcPr>
            <w:tcW w:w="720" w:type="dxa"/>
            <w:tcBorders>
              <w:top w:val="double" w:sz="4" w:space="0" w:color="auto"/>
              <w:bottom w:val="single" w:sz="12" w:space="0" w:color="auto"/>
            </w:tcBorders>
            <w:shd w:val="clear" w:color="auto" w:fill="auto"/>
            <w:vAlign w:val="center"/>
          </w:tcPr>
          <w:p w:rsidR="00E767BC" w:rsidRPr="009448B7" w:rsidRDefault="00E767BC" w:rsidP="002A558C">
            <w:pPr>
              <w:rPr>
                <w:rFonts w:cs="Arial"/>
                <w:noProof/>
                <w:color w:val="000000" w:themeColor="text1"/>
                <w:sz w:val="22"/>
                <w:szCs w:val="22"/>
              </w:rPr>
            </w:pPr>
            <w:r w:rsidRPr="009448B7">
              <w:rPr>
                <w:rFonts w:cs="Arial"/>
                <w:noProof/>
                <w:color w:val="000000" w:themeColor="text1"/>
                <w:sz w:val="22"/>
                <w:szCs w:val="22"/>
              </w:rPr>
              <w:t>PM</w:t>
            </w:r>
          </w:p>
        </w:tc>
        <w:tc>
          <w:tcPr>
            <w:tcW w:w="810" w:type="dxa"/>
            <w:tcBorders>
              <w:top w:val="double" w:sz="4" w:space="0" w:color="auto"/>
              <w:bottom w:val="single" w:sz="12" w:space="0" w:color="auto"/>
            </w:tcBorders>
            <w:shd w:val="clear" w:color="auto" w:fill="auto"/>
            <w:vAlign w:val="center"/>
          </w:tcPr>
          <w:p w:rsidR="00E767BC" w:rsidRPr="009448B7" w:rsidRDefault="00E767BC" w:rsidP="002A558C">
            <w:pPr>
              <w:rPr>
                <w:rFonts w:cs="Arial"/>
                <w:noProof/>
                <w:color w:val="000000" w:themeColor="text1"/>
                <w:sz w:val="22"/>
                <w:szCs w:val="22"/>
              </w:rPr>
            </w:pPr>
            <w:r w:rsidRPr="009448B7">
              <w:rPr>
                <w:rFonts w:cs="Arial"/>
                <w:noProof/>
                <w:color w:val="000000" w:themeColor="text1"/>
                <w:sz w:val="22"/>
                <w:szCs w:val="22"/>
              </w:rPr>
              <w:t>PM10</w:t>
            </w:r>
          </w:p>
        </w:tc>
        <w:tc>
          <w:tcPr>
            <w:tcW w:w="1260" w:type="dxa"/>
            <w:tcBorders>
              <w:top w:val="double" w:sz="4" w:space="0" w:color="auto"/>
              <w:bottom w:val="single" w:sz="12" w:space="0" w:color="auto"/>
            </w:tcBorders>
            <w:shd w:val="clear" w:color="auto" w:fill="auto"/>
            <w:vAlign w:val="center"/>
          </w:tcPr>
          <w:p w:rsidR="00E767BC" w:rsidRPr="009448B7" w:rsidRDefault="00E767BC" w:rsidP="002A558C">
            <w:pPr>
              <w:rPr>
                <w:rFonts w:cs="Arial"/>
                <w:noProof/>
                <w:color w:val="000000" w:themeColor="text1"/>
                <w:sz w:val="22"/>
                <w:szCs w:val="22"/>
              </w:rPr>
            </w:pPr>
            <w:r w:rsidRPr="009448B7">
              <w:rPr>
                <w:rFonts w:cs="Arial"/>
                <w:noProof/>
                <w:color w:val="000000" w:themeColor="text1"/>
                <w:sz w:val="22"/>
                <w:szCs w:val="22"/>
              </w:rPr>
              <w:t>CO2e</w:t>
            </w:r>
          </w:p>
        </w:tc>
      </w:tr>
      <w:tr w:rsidR="00E767BC" w:rsidRPr="009448B7" w:rsidTr="002A558C">
        <w:trPr>
          <w:trHeight w:val="609"/>
        </w:trPr>
        <w:tc>
          <w:tcPr>
            <w:tcW w:w="3420" w:type="dxa"/>
            <w:tcBorders>
              <w:top w:val="single" w:sz="12" w:space="0" w:color="auto"/>
              <w:bottom w:val="single" w:sz="4" w:space="0" w:color="auto"/>
            </w:tcBorders>
            <w:vAlign w:val="center"/>
          </w:tcPr>
          <w:p w:rsidR="00E767BC" w:rsidRPr="009448B7" w:rsidRDefault="00E767BC" w:rsidP="002A558C">
            <w:pPr>
              <w:rPr>
                <w:rFonts w:cs="Arial"/>
                <w:noProof/>
                <w:color w:val="000000" w:themeColor="text1"/>
                <w:sz w:val="22"/>
                <w:szCs w:val="22"/>
              </w:rPr>
            </w:pPr>
            <w:r w:rsidRPr="009448B7">
              <w:rPr>
                <w:rFonts w:cs="Arial"/>
                <w:noProof/>
                <w:sz w:val="22"/>
                <w:szCs w:val="22"/>
              </w:rPr>
              <w:t>Total PE from New and Modified Units</w:t>
            </w:r>
          </w:p>
        </w:tc>
        <w:tc>
          <w:tcPr>
            <w:tcW w:w="810" w:type="dxa"/>
            <w:tcBorders>
              <w:top w:val="single" w:sz="12" w:space="0" w:color="auto"/>
              <w:bottom w:val="single" w:sz="4" w:space="0" w:color="auto"/>
            </w:tcBorders>
            <w:vAlign w:val="center"/>
          </w:tcPr>
          <w:p w:rsidR="00E767BC" w:rsidRPr="009448B7" w:rsidRDefault="00E767BC" w:rsidP="002A558C">
            <w:pPr>
              <w:rPr>
                <w:rFonts w:cs="Arial"/>
                <w:noProof/>
                <w:color w:val="000000" w:themeColor="text1"/>
                <w:sz w:val="22"/>
                <w:szCs w:val="22"/>
              </w:rPr>
            </w:pPr>
            <w:r w:rsidRPr="009448B7">
              <w:rPr>
                <w:rFonts w:cs="Arial"/>
                <w:noProof/>
                <w:color w:val="000000" w:themeColor="text1"/>
                <w:sz w:val="22"/>
                <w:szCs w:val="22"/>
              </w:rPr>
              <w:t>0</w:t>
            </w:r>
          </w:p>
        </w:tc>
        <w:tc>
          <w:tcPr>
            <w:tcW w:w="810" w:type="dxa"/>
            <w:tcBorders>
              <w:top w:val="single" w:sz="12" w:space="0" w:color="auto"/>
              <w:bottom w:val="single" w:sz="4" w:space="0" w:color="auto"/>
            </w:tcBorders>
            <w:vAlign w:val="center"/>
          </w:tcPr>
          <w:p w:rsidR="00E767BC" w:rsidRPr="009448B7" w:rsidRDefault="00E767BC" w:rsidP="002A558C">
            <w:pPr>
              <w:rPr>
                <w:rFonts w:cs="Arial"/>
                <w:noProof/>
                <w:color w:val="000000" w:themeColor="text1"/>
                <w:sz w:val="22"/>
                <w:szCs w:val="22"/>
              </w:rPr>
            </w:pPr>
            <w:r w:rsidRPr="000643CB">
              <w:rPr>
                <w:rFonts w:cs="Arial"/>
                <w:noProof/>
                <w:color w:val="0000FF"/>
                <w:sz w:val="22"/>
                <w:szCs w:val="22"/>
              </w:rPr>
              <w:t>0</w:t>
            </w:r>
          </w:p>
        </w:tc>
        <w:tc>
          <w:tcPr>
            <w:tcW w:w="827" w:type="dxa"/>
            <w:tcBorders>
              <w:top w:val="single" w:sz="12" w:space="0" w:color="auto"/>
              <w:bottom w:val="single" w:sz="4" w:space="0" w:color="auto"/>
            </w:tcBorders>
            <w:vAlign w:val="center"/>
          </w:tcPr>
          <w:p w:rsidR="00E767BC" w:rsidRPr="009448B7" w:rsidRDefault="00E767BC" w:rsidP="002A558C">
            <w:pPr>
              <w:rPr>
                <w:rFonts w:cs="Arial"/>
                <w:noProof/>
                <w:color w:val="000000" w:themeColor="text1"/>
                <w:sz w:val="22"/>
                <w:szCs w:val="22"/>
              </w:rPr>
            </w:pPr>
            <w:r w:rsidRPr="009448B7">
              <w:rPr>
                <w:rFonts w:cs="Arial"/>
                <w:noProof/>
                <w:color w:val="000000" w:themeColor="text1"/>
                <w:sz w:val="22"/>
                <w:szCs w:val="22"/>
              </w:rPr>
              <w:t>0</w:t>
            </w:r>
          </w:p>
        </w:tc>
        <w:tc>
          <w:tcPr>
            <w:tcW w:w="703" w:type="dxa"/>
            <w:tcBorders>
              <w:top w:val="single" w:sz="12" w:space="0" w:color="auto"/>
              <w:bottom w:val="single" w:sz="4" w:space="0" w:color="auto"/>
            </w:tcBorders>
            <w:vAlign w:val="center"/>
          </w:tcPr>
          <w:p w:rsidR="00E767BC" w:rsidRPr="009448B7" w:rsidRDefault="00E767BC" w:rsidP="002A558C">
            <w:pPr>
              <w:rPr>
                <w:rFonts w:cs="Arial"/>
                <w:noProof/>
                <w:color w:val="000000" w:themeColor="text1"/>
                <w:sz w:val="22"/>
                <w:szCs w:val="22"/>
              </w:rPr>
            </w:pPr>
            <w:r w:rsidRPr="009448B7">
              <w:rPr>
                <w:rFonts w:cs="Arial"/>
                <w:noProof/>
                <w:color w:val="000000" w:themeColor="text1"/>
                <w:sz w:val="22"/>
                <w:szCs w:val="22"/>
              </w:rPr>
              <w:t>0</w:t>
            </w:r>
          </w:p>
        </w:tc>
        <w:tc>
          <w:tcPr>
            <w:tcW w:w="720" w:type="dxa"/>
            <w:tcBorders>
              <w:top w:val="single" w:sz="12" w:space="0" w:color="auto"/>
              <w:bottom w:val="single" w:sz="4" w:space="0" w:color="auto"/>
            </w:tcBorders>
            <w:vAlign w:val="center"/>
          </w:tcPr>
          <w:p w:rsidR="00E767BC" w:rsidRPr="009448B7" w:rsidRDefault="00E767BC" w:rsidP="002A558C">
            <w:pPr>
              <w:rPr>
                <w:rFonts w:cs="Arial"/>
                <w:noProof/>
                <w:color w:val="000000" w:themeColor="text1"/>
                <w:sz w:val="22"/>
                <w:szCs w:val="22"/>
              </w:rPr>
            </w:pPr>
            <w:r w:rsidRPr="009448B7">
              <w:rPr>
                <w:rFonts w:cs="Arial"/>
                <w:noProof/>
                <w:color w:val="000000" w:themeColor="text1"/>
                <w:sz w:val="22"/>
                <w:szCs w:val="22"/>
              </w:rPr>
              <w:t>0</w:t>
            </w:r>
          </w:p>
        </w:tc>
        <w:tc>
          <w:tcPr>
            <w:tcW w:w="810" w:type="dxa"/>
            <w:tcBorders>
              <w:top w:val="single" w:sz="12" w:space="0" w:color="auto"/>
              <w:bottom w:val="single" w:sz="4" w:space="0" w:color="auto"/>
            </w:tcBorders>
            <w:vAlign w:val="center"/>
          </w:tcPr>
          <w:p w:rsidR="00E767BC" w:rsidRPr="009448B7" w:rsidRDefault="00E767BC" w:rsidP="002A558C">
            <w:pPr>
              <w:rPr>
                <w:rFonts w:cs="Arial"/>
                <w:noProof/>
                <w:color w:val="000000" w:themeColor="text1"/>
                <w:sz w:val="22"/>
                <w:szCs w:val="22"/>
              </w:rPr>
            </w:pPr>
            <w:r w:rsidRPr="009448B7">
              <w:rPr>
                <w:rFonts w:cs="Arial"/>
                <w:noProof/>
                <w:color w:val="000000" w:themeColor="text1"/>
                <w:sz w:val="22"/>
                <w:szCs w:val="22"/>
              </w:rPr>
              <w:t>0</w:t>
            </w:r>
          </w:p>
        </w:tc>
        <w:tc>
          <w:tcPr>
            <w:tcW w:w="1260" w:type="dxa"/>
            <w:tcBorders>
              <w:top w:val="single" w:sz="12" w:space="0" w:color="auto"/>
              <w:bottom w:val="single" w:sz="4" w:space="0" w:color="auto"/>
            </w:tcBorders>
            <w:vAlign w:val="center"/>
          </w:tcPr>
          <w:p w:rsidR="00E767BC" w:rsidRPr="009448B7" w:rsidRDefault="00E767BC" w:rsidP="002A558C">
            <w:pPr>
              <w:rPr>
                <w:rFonts w:cs="Arial"/>
                <w:noProof/>
                <w:color w:val="000000" w:themeColor="text1"/>
                <w:sz w:val="22"/>
                <w:szCs w:val="22"/>
              </w:rPr>
            </w:pPr>
            <w:r w:rsidRPr="009448B7">
              <w:rPr>
                <w:rFonts w:cs="Arial"/>
                <w:noProof/>
                <w:color w:val="000000" w:themeColor="text1"/>
                <w:sz w:val="22"/>
                <w:szCs w:val="22"/>
              </w:rPr>
              <w:t>0</w:t>
            </w:r>
          </w:p>
        </w:tc>
      </w:tr>
      <w:tr w:rsidR="00E767BC" w:rsidRPr="009448B7" w:rsidTr="002A558C">
        <w:trPr>
          <w:trHeight w:val="359"/>
        </w:trPr>
        <w:tc>
          <w:tcPr>
            <w:tcW w:w="3420" w:type="dxa"/>
            <w:tcBorders>
              <w:top w:val="single" w:sz="4" w:space="0" w:color="auto"/>
              <w:bottom w:val="single" w:sz="12" w:space="0" w:color="auto"/>
            </w:tcBorders>
            <w:vAlign w:val="center"/>
          </w:tcPr>
          <w:p w:rsidR="00E767BC" w:rsidRPr="009448B7" w:rsidRDefault="00E767BC" w:rsidP="002A558C">
            <w:pPr>
              <w:rPr>
                <w:rFonts w:cs="Arial"/>
                <w:noProof/>
                <w:color w:val="000000" w:themeColor="text1"/>
                <w:sz w:val="22"/>
                <w:szCs w:val="22"/>
              </w:rPr>
            </w:pPr>
            <w:r w:rsidRPr="009448B7">
              <w:rPr>
                <w:rFonts w:cs="Arial"/>
                <w:noProof/>
                <w:color w:val="000000" w:themeColor="text1"/>
                <w:sz w:val="22"/>
                <w:szCs w:val="22"/>
              </w:rPr>
              <w:t>PSD Major Source threshold</w:t>
            </w:r>
          </w:p>
        </w:tc>
        <w:tc>
          <w:tcPr>
            <w:tcW w:w="810" w:type="dxa"/>
            <w:tcBorders>
              <w:top w:val="single" w:sz="4" w:space="0" w:color="auto"/>
              <w:bottom w:val="single" w:sz="12" w:space="0" w:color="auto"/>
            </w:tcBorders>
            <w:vAlign w:val="center"/>
          </w:tcPr>
          <w:p w:rsidR="00E767BC" w:rsidRPr="009448B7" w:rsidRDefault="00E767BC" w:rsidP="002A558C">
            <w:pPr>
              <w:rPr>
                <w:rFonts w:cs="Arial"/>
                <w:noProof/>
                <w:sz w:val="22"/>
                <w:szCs w:val="22"/>
              </w:rPr>
            </w:pPr>
            <w:r w:rsidRPr="009448B7">
              <w:rPr>
                <w:rFonts w:cs="Arial"/>
                <w:noProof/>
                <w:sz w:val="22"/>
                <w:szCs w:val="22"/>
              </w:rPr>
              <w:t>250</w:t>
            </w:r>
          </w:p>
        </w:tc>
        <w:tc>
          <w:tcPr>
            <w:tcW w:w="810" w:type="dxa"/>
            <w:tcBorders>
              <w:top w:val="single" w:sz="4" w:space="0" w:color="auto"/>
              <w:bottom w:val="single" w:sz="12" w:space="0" w:color="auto"/>
            </w:tcBorders>
            <w:vAlign w:val="center"/>
          </w:tcPr>
          <w:p w:rsidR="00E767BC" w:rsidRPr="009448B7" w:rsidRDefault="00E767BC" w:rsidP="002A558C">
            <w:pPr>
              <w:rPr>
                <w:rFonts w:cs="Arial"/>
                <w:noProof/>
                <w:sz w:val="22"/>
                <w:szCs w:val="22"/>
              </w:rPr>
            </w:pPr>
            <w:r w:rsidRPr="009448B7">
              <w:rPr>
                <w:rFonts w:cs="Arial"/>
                <w:noProof/>
                <w:sz w:val="22"/>
                <w:szCs w:val="22"/>
              </w:rPr>
              <w:t>250</w:t>
            </w:r>
          </w:p>
        </w:tc>
        <w:tc>
          <w:tcPr>
            <w:tcW w:w="827" w:type="dxa"/>
            <w:tcBorders>
              <w:top w:val="single" w:sz="4" w:space="0" w:color="auto"/>
              <w:bottom w:val="single" w:sz="12" w:space="0" w:color="auto"/>
            </w:tcBorders>
            <w:vAlign w:val="center"/>
          </w:tcPr>
          <w:p w:rsidR="00E767BC" w:rsidRPr="009448B7" w:rsidRDefault="00E767BC" w:rsidP="002A558C">
            <w:pPr>
              <w:rPr>
                <w:rFonts w:cs="Arial"/>
                <w:noProof/>
                <w:sz w:val="22"/>
                <w:szCs w:val="22"/>
              </w:rPr>
            </w:pPr>
            <w:r w:rsidRPr="009448B7">
              <w:rPr>
                <w:rFonts w:cs="Arial"/>
                <w:noProof/>
                <w:sz w:val="22"/>
                <w:szCs w:val="22"/>
              </w:rPr>
              <w:t>250</w:t>
            </w:r>
          </w:p>
        </w:tc>
        <w:tc>
          <w:tcPr>
            <w:tcW w:w="703" w:type="dxa"/>
            <w:tcBorders>
              <w:top w:val="single" w:sz="4" w:space="0" w:color="auto"/>
              <w:bottom w:val="single" w:sz="12" w:space="0" w:color="auto"/>
            </w:tcBorders>
            <w:vAlign w:val="center"/>
          </w:tcPr>
          <w:p w:rsidR="00E767BC" w:rsidRPr="009448B7" w:rsidRDefault="00E767BC" w:rsidP="002A558C">
            <w:pPr>
              <w:rPr>
                <w:rFonts w:cs="Arial"/>
                <w:noProof/>
                <w:sz w:val="22"/>
                <w:szCs w:val="22"/>
              </w:rPr>
            </w:pPr>
            <w:r w:rsidRPr="009448B7">
              <w:rPr>
                <w:rFonts w:cs="Arial"/>
                <w:noProof/>
                <w:sz w:val="22"/>
                <w:szCs w:val="22"/>
              </w:rPr>
              <w:t>250</w:t>
            </w:r>
          </w:p>
        </w:tc>
        <w:tc>
          <w:tcPr>
            <w:tcW w:w="720" w:type="dxa"/>
            <w:tcBorders>
              <w:top w:val="single" w:sz="4" w:space="0" w:color="auto"/>
              <w:bottom w:val="single" w:sz="12" w:space="0" w:color="auto"/>
            </w:tcBorders>
            <w:vAlign w:val="center"/>
          </w:tcPr>
          <w:p w:rsidR="00E767BC" w:rsidRPr="009448B7" w:rsidRDefault="00E767BC" w:rsidP="002A558C">
            <w:pPr>
              <w:rPr>
                <w:rFonts w:cs="Arial"/>
                <w:noProof/>
                <w:sz w:val="22"/>
                <w:szCs w:val="22"/>
              </w:rPr>
            </w:pPr>
            <w:r w:rsidRPr="009448B7">
              <w:rPr>
                <w:rFonts w:cs="Arial"/>
                <w:noProof/>
                <w:sz w:val="22"/>
                <w:szCs w:val="22"/>
              </w:rPr>
              <w:t>250</w:t>
            </w:r>
          </w:p>
        </w:tc>
        <w:tc>
          <w:tcPr>
            <w:tcW w:w="810" w:type="dxa"/>
            <w:tcBorders>
              <w:top w:val="single" w:sz="4" w:space="0" w:color="auto"/>
              <w:bottom w:val="single" w:sz="12" w:space="0" w:color="auto"/>
            </w:tcBorders>
            <w:vAlign w:val="center"/>
          </w:tcPr>
          <w:p w:rsidR="00E767BC" w:rsidRPr="009448B7" w:rsidRDefault="00E767BC" w:rsidP="002A558C">
            <w:pPr>
              <w:rPr>
                <w:rFonts w:cs="Arial"/>
                <w:noProof/>
                <w:sz w:val="22"/>
                <w:szCs w:val="22"/>
              </w:rPr>
            </w:pPr>
            <w:r w:rsidRPr="009448B7">
              <w:rPr>
                <w:rFonts w:cs="Arial"/>
                <w:noProof/>
                <w:sz w:val="22"/>
                <w:szCs w:val="22"/>
              </w:rPr>
              <w:t>250</w:t>
            </w:r>
          </w:p>
        </w:tc>
        <w:tc>
          <w:tcPr>
            <w:tcW w:w="1260" w:type="dxa"/>
            <w:tcBorders>
              <w:top w:val="single" w:sz="4" w:space="0" w:color="auto"/>
              <w:bottom w:val="single" w:sz="12" w:space="0" w:color="auto"/>
            </w:tcBorders>
            <w:vAlign w:val="center"/>
          </w:tcPr>
          <w:p w:rsidR="00E767BC" w:rsidRPr="009448B7" w:rsidRDefault="00E767BC" w:rsidP="002A558C">
            <w:pPr>
              <w:rPr>
                <w:rFonts w:cs="Arial"/>
                <w:noProof/>
                <w:color w:val="000000" w:themeColor="text1"/>
                <w:sz w:val="22"/>
                <w:szCs w:val="22"/>
              </w:rPr>
            </w:pPr>
            <w:r w:rsidRPr="009448B7">
              <w:rPr>
                <w:rFonts w:cs="Arial"/>
                <w:noProof/>
                <w:color w:val="000000" w:themeColor="text1"/>
                <w:sz w:val="22"/>
                <w:szCs w:val="22"/>
              </w:rPr>
              <w:t>100,000</w:t>
            </w:r>
          </w:p>
        </w:tc>
      </w:tr>
      <w:tr w:rsidR="00E767BC" w:rsidRPr="009448B7" w:rsidTr="002A558C">
        <w:trPr>
          <w:trHeight w:val="456"/>
        </w:trPr>
        <w:tc>
          <w:tcPr>
            <w:tcW w:w="3420" w:type="dxa"/>
            <w:tcBorders>
              <w:top w:val="single" w:sz="12" w:space="0" w:color="auto"/>
            </w:tcBorders>
            <w:vAlign w:val="center"/>
          </w:tcPr>
          <w:p w:rsidR="00E767BC" w:rsidRPr="009448B7" w:rsidRDefault="00E767BC" w:rsidP="002A558C">
            <w:pPr>
              <w:rPr>
                <w:rFonts w:cs="Arial"/>
                <w:noProof/>
                <w:color w:val="000000" w:themeColor="text1"/>
                <w:sz w:val="22"/>
                <w:szCs w:val="22"/>
              </w:rPr>
            </w:pPr>
            <w:r w:rsidRPr="009448B7">
              <w:rPr>
                <w:rFonts w:cs="Arial"/>
                <w:noProof/>
                <w:color w:val="000000" w:themeColor="text1"/>
                <w:sz w:val="22"/>
                <w:szCs w:val="22"/>
              </w:rPr>
              <w:t>New PSD Major Source?</w:t>
            </w:r>
          </w:p>
        </w:tc>
        <w:tc>
          <w:tcPr>
            <w:tcW w:w="810" w:type="dxa"/>
            <w:tcBorders>
              <w:top w:val="single" w:sz="12" w:space="0" w:color="auto"/>
            </w:tcBorders>
            <w:vAlign w:val="center"/>
          </w:tcPr>
          <w:p w:rsidR="00E767BC" w:rsidRPr="009448B7" w:rsidRDefault="00E767BC" w:rsidP="002A558C">
            <w:pPr>
              <w:rPr>
                <w:rFonts w:cs="Arial"/>
                <w:noProof/>
                <w:color w:val="000000" w:themeColor="text1"/>
                <w:sz w:val="22"/>
                <w:szCs w:val="22"/>
              </w:rPr>
            </w:pPr>
            <w:r w:rsidRPr="009448B7">
              <w:rPr>
                <w:rFonts w:cs="Arial"/>
                <w:noProof/>
                <w:color w:val="000000" w:themeColor="text1"/>
                <w:sz w:val="22"/>
                <w:szCs w:val="22"/>
              </w:rPr>
              <w:t>N</w:t>
            </w:r>
          </w:p>
        </w:tc>
        <w:tc>
          <w:tcPr>
            <w:tcW w:w="810" w:type="dxa"/>
            <w:tcBorders>
              <w:top w:val="single" w:sz="12" w:space="0" w:color="auto"/>
            </w:tcBorders>
            <w:vAlign w:val="center"/>
          </w:tcPr>
          <w:p w:rsidR="00E767BC" w:rsidRPr="009448B7" w:rsidRDefault="00E767BC" w:rsidP="002A558C">
            <w:pPr>
              <w:rPr>
                <w:rFonts w:cs="Arial"/>
                <w:noProof/>
                <w:color w:val="000000" w:themeColor="text1"/>
                <w:sz w:val="22"/>
                <w:szCs w:val="22"/>
              </w:rPr>
            </w:pPr>
            <w:r w:rsidRPr="009448B7">
              <w:rPr>
                <w:rFonts w:cs="Arial"/>
                <w:noProof/>
                <w:color w:val="000000" w:themeColor="text1"/>
                <w:sz w:val="22"/>
                <w:szCs w:val="22"/>
              </w:rPr>
              <w:t>N</w:t>
            </w:r>
          </w:p>
        </w:tc>
        <w:tc>
          <w:tcPr>
            <w:tcW w:w="827" w:type="dxa"/>
            <w:tcBorders>
              <w:top w:val="single" w:sz="12" w:space="0" w:color="auto"/>
            </w:tcBorders>
            <w:vAlign w:val="center"/>
          </w:tcPr>
          <w:p w:rsidR="00E767BC" w:rsidRPr="009448B7" w:rsidRDefault="00E767BC" w:rsidP="002A558C">
            <w:pPr>
              <w:rPr>
                <w:rFonts w:cs="Arial"/>
                <w:noProof/>
                <w:color w:val="000000" w:themeColor="text1"/>
                <w:sz w:val="22"/>
                <w:szCs w:val="22"/>
              </w:rPr>
            </w:pPr>
            <w:r w:rsidRPr="009448B7">
              <w:rPr>
                <w:rFonts w:cs="Arial"/>
                <w:noProof/>
                <w:color w:val="000000" w:themeColor="text1"/>
                <w:sz w:val="22"/>
                <w:szCs w:val="22"/>
              </w:rPr>
              <w:t>N</w:t>
            </w:r>
          </w:p>
        </w:tc>
        <w:tc>
          <w:tcPr>
            <w:tcW w:w="703" w:type="dxa"/>
            <w:tcBorders>
              <w:top w:val="single" w:sz="12" w:space="0" w:color="auto"/>
            </w:tcBorders>
            <w:vAlign w:val="center"/>
          </w:tcPr>
          <w:p w:rsidR="00E767BC" w:rsidRPr="009448B7" w:rsidRDefault="00E767BC" w:rsidP="002A558C">
            <w:pPr>
              <w:rPr>
                <w:rFonts w:cs="Arial"/>
                <w:noProof/>
                <w:color w:val="000000" w:themeColor="text1"/>
                <w:sz w:val="22"/>
                <w:szCs w:val="22"/>
              </w:rPr>
            </w:pPr>
            <w:r w:rsidRPr="009448B7">
              <w:rPr>
                <w:rFonts w:cs="Arial"/>
                <w:noProof/>
                <w:color w:val="000000" w:themeColor="text1"/>
                <w:sz w:val="22"/>
                <w:szCs w:val="22"/>
              </w:rPr>
              <w:t>N</w:t>
            </w:r>
          </w:p>
        </w:tc>
        <w:tc>
          <w:tcPr>
            <w:tcW w:w="720" w:type="dxa"/>
            <w:tcBorders>
              <w:top w:val="single" w:sz="12" w:space="0" w:color="auto"/>
            </w:tcBorders>
            <w:vAlign w:val="center"/>
          </w:tcPr>
          <w:p w:rsidR="00E767BC" w:rsidRPr="009448B7" w:rsidRDefault="00E767BC" w:rsidP="002A558C">
            <w:pPr>
              <w:rPr>
                <w:rFonts w:cs="Arial"/>
                <w:noProof/>
                <w:color w:val="000000" w:themeColor="text1"/>
                <w:sz w:val="22"/>
                <w:szCs w:val="22"/>
              </w:rPr>
            </w:pPr>
            <w:r w:rsidRPr="009448B7">
              <w:rPr>
                <w:rFonts w:cs="Arial"/>
                <w:noProof/>
                <w:color w:val="000000" w:themeColor="text1"/>
                <w:sz w:val="22"/>
                <w:szCs w:val="22"/>
              </w:rPr>
              <w:t>N</w:t>
            </w:r>
          </w:p>
        </w:tc>
        <w:tc>
          <w:tcPr>
            <w:tcW w:w="810" w:type="dxa"/>
            <w:tcBorders>
              <w:top w:val="single" w:sz="12" w:space="0" w:color="auto"/>
            </w:tcBorders>
            <w:vAlign w:val="center"/>
          </w:tcPr>
          <w:p w:rsidR="00E767BC" w:rsidRPr="009448B7" w:rsidRDefault="00E767BC" w:rsidP="002A558C">
            <w:pPr>
              <w:rPr>
                <w:rFonts w:cs="Arial"/>
                <w:noProof/>
                <w:color w:val="000000" w:themeColor="text1"/>
                <w:sz w:val="22"/>
                <w:szCs w:val="22"/>
              </w:rPr>
            </w:pPr>
            <w:r w:rsidRPr="009448B7">
              <w:rPr>
                <w:rFonts w:cs="Arial"/>
                <w:noProof/>
                <w:color w:val="000000" w:themeColor="text1"/>
                <w:sz w:val="22"/>
                <w:szCs w:val="22"/>
              </w:rPr>
              <w:t>N</w:t>
            </w:r>
          </w:p>
        </w:tc>
        <w:tc>
          <w:tcPr>
            <w:tcW w:w="1260" w:type="dxa"/>
            <w:tcBorders>
              <w:top w:val="single" w:sz="12" w:space="0" w:color="auto"/>
            </w:tcBorders>
            <w:vAlign w:val="center"/>
          </w:tcPr>
          <w:p w:rsidR="00E767BC" w:rsidRPr="009448B7" w:rsidRDefault="00E767BC" w:rsidP="002A558C">
            <w:pPr>
              <w:rPr>
                <w:rFonts w:cs="Arial"/>
                <w:noProof/>
                <w:color w:val="000000" w:themeColor="text1"/>
                <w:sz w:val="22"/>
                <w:szCs w:val="22"/>
              </w:rPr>
            </w:pPr>
            <w:r w:rsidRPr="009448B7">
              <w:rPr>
                <w:rFonts w:cs="Arial"/>
                <w:noProof/>
                <w:color w:val="000000" w:themeColor="text1"/>
                <w:sz w:val="22"/>
                <w:szCs w:val="22"/>
              </w:rPr>
              <w:t>N</w:t>
            </w:r>
          </w:p>
        </w:tc>
      </w:tr>
    </w:tbl>
    <w:p w:rsidR="00E767BC" w:rsidRPr="009448B7" w:rsidRDefault="00E767BC" w:rsidP="00E767BC">
      <w:pPr>
        <w:suppressAutoHyphens/>
        <w:ind w:left="1080"/>
        <w:jc w:val="both"/>
        <w:rPr>
          <w:rFonts w:cs="Arial"/>
          <w:noProof/>
        </w:rPr>
      </w:pPr>
    </w:p>
    <w:p w:rsidR="00E767BC" w:rsidRDefault="00E767BC" w:rsidP="00E767BC">
      <w:pPr>
        <w:suppressAutoHyphens/>
        <w:ind w:left="1080"/>
        <w:jc w:val="both"/>
        <w:rPr>
          <w:rFonts w:cs="Arial"/>
          <w:noProof/>
        </w:rPr>
      </w:pPr>
      <w:r w:rsidRPr="009448B7">
        <w:rPr>
          <w:rFonts w:cs="Arial"/>
          <w:noProof/>
        </w:rPr>
        <w:t>As shown in the table above, the project potential to emit, by itself, does not exceed any of the PSD major source thresholds.  Therefore</w:t>
      </w:r>
      <w:r>
        <w:rPr>
          <w:rFonts w:cs="Arial"/>
          <w:noProof/>
        </w:rPr>
        <w:t>,</w:t>
      </w:r>
      <w:r w:rsidRPr="009448B7">
        <w:rPr>
          <w:rFonts w:cs="Arial"/>
          <w:noProof/>
        </w:rPr>
        <w:t xml:space="preserve"> Rule 2410 is not applicable and no further discussion is required.</w:t>
      </w:r>
    </w:p>
    <w:p w:rsidR="00113C80" w:rsidRDefault="00113C80">
      <w:pPr>
        <w:tabs>
          <w:tab w:val="left" w:pos="1080"/>
        </w:tabs>
        <w:autoSpaceDE w:val="0"/>
        <w:autoSpaceDN w:val="0"/>
        <w:adjustRightInd w:val="0"/>
        <w:ind w:left="720"/>
        <w:rPr>
          <w:b/>
          <w:bCs/>
          <w:color w:val="000000"/>
        </w:rPr>
      </w:pPr>
    </w:p>
    <w:p w:rsidR="00DB5DB6" w:rsidRDefault="00DB5DB6" w:rsidP="0058168B">
      <w:pPr>
        <w:pStyle w:val="Heading3"/>
        <w:numPr>
          <w:ilvl w:val="2"/>
          <w:numId w:val="19"/>
        </w:numPr>
      </w:pPr>
      <w:r>
        <w:t>Quarterly Net Emissions Change (QNEC)</w:t>
      </w:r>
    </w:p>
    <w:p w:rsidR="00DB5DB6" w:rsidRDefault="00DB5DB6">
      <w:pPr>
        <w:autoSpaceDE w:val="0"/>
        <w:autoSpaceDN w:val="0"/>
        <w:adjustRightInd w:val="0"/>
        <w:ind w:left="720"/>
        <w:rPr>
          <w:bCs/>
          <w:color w:val="000000"/>
        </w:rPr>
      </w:pPr>
    </w:p>
    <w:p w:rsidR="00DB5DB6" w:rsidRDefault="00DB5DB6">
      <w:pPr>
        <w:ind w:left="720"/>
        <w:rPr>
          <w:b/>
          <w:bCs/>
          <w:spacing w:val="-2"/>
          <w:szCs w:val="18"/>
        </w:rPr>
      </w:pPr>
      <w:r>
        <w:rPr>
          <w:color w:val="000000"/>
        </w:rPr>
        <w:t xml:space="preserve">The QNEC is calculated solely to establish emissions that are used to complete the District’s PAS emissions profile screen.  Detailed QNEC calculations are included in </w:t>
      </w:r>
      <w:r>
        <w:t xml:space="preserve">Appendix </w:t>
      </w:r>
      <w:r>
        <w:rPr>
          <w:color w:val="0000FF"/>
        </w:rPr>
        <w:t>B</w:t>
      </w:r>
      <w:r>
        <w:rPr>
          <w:color w:val="000000"/>
        </w:rPr>
        <w:t>.</w:t>
      </w:r>
    </w:p>
    <w:p w:rsidR="00DB5DB6" w:rsidRDefault="00DB5DB6"/>
    <w:p w:rsidR="00DB5DB6" w:rsidRDefault="00DB5DB6">
      <w:pPr>
        <w:pStyle w:val="Heading1"/>
      </w:pPr>
      <w:r>
        <w:t>Compliance</w:t>
      </w:r>
    </w:p>
    <w:p w:rsidR="00DB5DB6" w:rsidRDefault="00DB5DB6">
      <w:pPr>
        <w:suppressAutoHyphens/>
        <w:jc w:val="both"/>
        <w:rPr>
          <w:b/>
          <w:bCs/>
          <w:spacing w:val="-3"/>
        </w:rPr>
      </w:pPr>
      <w:r>
        <w:rPr>
          <w:spacing w:val="-3"/>
        </w:rPr>
        <w:tab/>
      </w:r>
    </w:p>
    <w:p w:rsidR="00DB5DB6" w:rsidRDefault="00DB5DB6">
      <w:pPr>
        <w:suppressAutoHyphens/>
        <w:jc w:val="both"/>
        <w:rPr>
          <w:b/>
          <w:spacing w:val="-3"/>
        </w:rPr>
      </w:pPr>
      <w:r>
        <w:rPr>
          <w:b/>
          <w:spacing w:val="-3"/>
        </w:rPr>
        <w:t>Rule 2201 - New and Modified Stationary Source Review Rule</w:t>
      </w:r>
    </w:p>
    <w:p w:rsidR="00DB5DB6" w:rsidRDefault="00DB5DB6">
      <w:pPr>
        <w:suppressAutoHyphens/>
        <w:jc w:val="both"/>
        <w:rPr>
          <w:b/>
          <w:spacing w:val="-3"/>
        </w:rPr>
      </w:pPr>
    </w:p>
    <w:p w:rsidR="00DB5DB6" w:rsidRDefault="00DB5DB6">
      <w:pPr>
        <w:pStyle w:val="Heading2"/>
      </w:pPr>
      <w:r>
        <w:t>BACT</w:t>
      </w:r>
    </w:p>
    <w:p w:rsidR="00DB5DB6" w:rsidRDefault="00DB5DB6">
      <w:pPr>
        <w:suppressAutoHyphens/>
        <w:ind w:left="450"/>
        <w:jc w:val="both"/>
        <w:rPr>
          <w:b/>
          <w:spacing w:val="-3"/>
        </w:rPr>
      </w:pPr>
    </w:p>
    <w:p w:rsidR="00DB5DB6" w:rsidRDefault="00DB5DB6">
      <w:pPr>
        <w:pStyle w:val="Heading3"/>
      </w:pPr>
      <w:r>
        <w:t>BACT Applicability</w:t>
      </w:r>
    </w:p>
    <w:p w:rsidR="00DB5DB6" w:rsidRDefault="00DB5DB6">
      <w:pPr>
        <w:suppressAutoHyphens/>
        <w:ind w:left="720"/>
        <w:jc w:val="both"/>
        <w:rPr>
          <w:b/>
          <w:spacing w:val="-3"/>
        </w:rPr>
      </w:pPr>
    </w:p>
    <w:p w:rsidR="00DB5DB6" w:rsidRDefault="00DB5DB6">
      <w:pPr>
        <w:pStyle w:val="BodyTextIndent"/>
        <w:suppressAutoHyphens w:val="0"/>
      </w:pPr>
      <w:r>
        <w:t xml:space="preserve">BACT requirements are triggered on a pollutant-by-pollutant basis and on an emissions unit-by-emissions unit basis for the following*:  </w:t>
      </w:r>
    </w:p>
    <w:p w:rsidR="00DB5DB6" w:rsidRDefault="00DB5DB6">
      <w:pPr>
        <w:pStyle w:val="BodyTextIndent"/>
        <w:suppressAutoHyphens w:val="0"/>
        <w:ind w:left="864"/>
      </w:pPr>
    </w:p>
    <w:p w:rsidR="00DB5DB6" w:rsidRDefault="00DB5DB6">
      <w:pPr>
        <w:numPr>
          <w:ilvl w:val="1"/>
          <w:numId w:val="2"/>
        </w:numPr>
        <w:tabs>
          <w:tab w:val="clear" w:pos="1980"/>
          <w:tab w:val="num" w:pos="1080"/>
        </w:tabs>
        <w:ind w:left="1080"/>
      </w:pPr>
      <w:r>
        <w:t>Any new emissions unit with a potential to emit exceeding two pounds per day,</w:t>
      </w:r>
    </w:p>
    <w:p w:rsidR="00DB5DB6" w:rsidRDefault="00DB5DB6">
      <w:pPr>
        <w:numPr>
          <w:ilvl w:val="1"/>
          <w:numId w:val="2"/>
        </w:numPr>
        <w:tabs>
          <w:tab w:val="clear" w:pos="1980"/>
          <w:tab w:val="num" w:pos="1080"/>
        </w:tabs>
        <w:ind w:left="1080"/>
      </w:pPr>
      <w:r>
        <w:t>The relocation from one Stationary Source to another of an existing emissions unit with a potential to emit exceeding two pounds per day,</w:t>
      </w:r>
    </w:p>
    <w:p w:rsidR="00DB5DB6" w:rsidRDefault="00DB5DB6">
      <w:pPr>
        <w:numPr>
          <w:ilvl w:val="1"/>
          <w:numId w:val="2"/>
        </w:numPr>
        <w:tabs>
          <w:tab w:val="clear" w:pos="1980"/>
          <w:tab w:val="num" w:pos="1080"/>
        </w:tabs>
        <w:ind w:left="1080"/>
        <w:rPr>
          <w:color w:val="000000"/>
          <w:spacing w:val="-3"/>
        </w:rPr>
      </w:pPr>
      <w:r>
        <w:rPr>
          <w:color w:val="000000"/>
          <w:spacing w:val="-3"/>
        </w:rPr>
        <w:t>Modifications to an existing emissions unit with a valid Permit to Operate resulting in an AIPE exceeding two pounds per day,</w:t>
      </w:r>
      <w:r>
        <w:t xml:space="preserve"> and/or</w:t>
      </w:r>
    </w:p>
    <w:p w:rsidR="00DB5DB6" w:rsidRDefault="00DB5DB6">
      <w:pPr>
        <w:numPr>
          <w:ilvl w:val="1"/>
          <w:numId w:val="2"/>
        </w:numPr>
        <w:tabs>
          <w:tab w:val="clear" w:pos="1980"/>
          <w:tab w:val="num" w:pos="1080"/>
        </w:tabs>
        <w:ind w:left="1080"/>
      </w:pPr>
      <w:r>
        <w:t>Any new or modified emissions unit, in a stationary source project, which results in a Major Modification.</w:t>
      </w:r>
    </w:p>
    <w:p w:rsidR="00DB5DB6" w:rsidRDefault="00DB5DB6">
      <w:pPr>
        <w:ind w:left="1080"/>
        <w:jc w:val="both"/>
        <w:rPr>
          <w:spacing w:val="-3"/>
        </w:rPr>
      </w:pPr>
    </w:p>
    <w:p w:rsidR="00DB5DB6" w:rsidRDefault="00DB5DB6">
      <w:pPr>
        <w:pStyle w:val="BodyTextIndent2"/>
        <w:ind w:left="720"/>
        <w:rPr>
          <w:sz w:val="20"/>
        </w:rPr>
      </w:pPr>
      <w:r>
        <w:rPr>
          <w:sz w:val="20"/>
        </w:rPr>
        <w:t>*Except for CO emissions from a new or modified emissions unit at a Stationary Source with an SSPE2 of less than 200,000 pounds per year of CO.</w:t>
      </w:r>
    </w:p>
    <w:p w:rsidR="00DB5DB6" w:rsidRDefault="00DB5DB6">
      <w:pPr>
        <w:suppressAutoHyphens/>
        <w:ind w:left="810" w:hanging="810"/>
        <w:jc w:val="both"/>
        <w:rPr>
          <w:spacing w:val="-3"/>
        </w:rPr>
      </w:pPr>
    </w:p>
    <w:p w:rsidR="00DB5DB6" w:rsidRDefault="00DB5DB6">
      <w:pPr>
        <w:suppressAutoHyphens/>
        <w:ind w:left="720"/>
        <w:jc w:val="both"/>
        <w:rPr>
          <w:iCs/>
          <w:spacing w:val="-3"/>
        </w:rPr>
      </w:pPr>
      <w:r>
        <w:rPr>
          <w:spacing w:val="-3"/>
        </w:rPr>
        <w:t xml:space="preserve">The applicant is proposing to install a new emissions unit with a PE of </w:t>
      </w:r>
      <w:r>
        <w:rPr>
          <w:color w:val="0000FF"/>
          <w:spacing w:val="-3"/>
        </w:rPr>
        <w:t>[ ]</w:t>
      </w:r>
      <w:r>
        <w:rPr>
          <w:spacing w:val="-3"/>
        </w:rPr>
        <w:t xml:space="preserve"> lb/day for VOC as calculated in section VII.C.2.  Since the daily VOC emissions are </w:t>
      </w:r>
      <w:r>
        <w:rPr>
          <w:color w:val="0000FF"/>
          <w:spacing w:val="-3"/>
        </w:rPr>
        <w:t>[greater</w:t>
      </w:r>
      <w:r w:rsidR="00A15467">
        <w:rPr>
          <w:color w:val="0000FF"/>
          <w:spacing w:val="-3"/>
        </w:rPr>
        <w:t>/</w:t>
      </w:r>
      <w:r>
        <w:rPr>
          <w:color w:val="0000FF"/>
          <w:spacing w:val="-3"/>
        </w:rPr>
        <w:t>not greater]</w:t>
      </w:r>
      <w:r>
        <w:rPr>
          <w:spacing w:val="-3"/>
        </w:rPr>
        <w:t xml:space="preserve"> than 2.0 lbs/day, BACT </w:t>
      </w:r>
      <w:r>
        <w:rPr>
          <w:color w:val="0000FF"/>
          <w:spacing w:val="-3"/>
        </w:rPr>
        <w:t>[will or will not]</w:t>
      </w:r>
      <w:r>
        <w:rPr>
          <w:spacing w:val="-3"/>
        </w:rPr>
        <w:t xml:space="preserve"> be triggered. </w:t>
      </w:r>
    </w:p>
    <w:p w:rsidR="00DB5DB6" w:rsidRDefault="00DB5DB6">
      <w:pPr>
        <w:suppressAutoHyphens/>
        <w:ind w:left="756" w:hanging="810"/>
        <w:jc w:val="both"/>
        <w:rPr>
          <w:i/>
          <w:color w:val="FF0000"/>
          <w:spacing w:val="-3"/>
        </w:rPr>
      </w:pPr>
    </w:p>
    <w:p w:rsidR="00DB5DB6" w:rsidRDefault="00DB5DB6">
      <w:pPr>
        <w:suppressAutoHyphens/>
        <w:ind w:left="756" w:hanging="810"/>
        <w:jc w:val="both"/>
        <w:rPr>
          <w:i/>
          <w:color w:val="FF0000"/>
          <w:spacing w:val="-3"/>
        </w:rPr>
      </w:pPr>
      <w:r>
        <w:rPr>
          <w:i/>
          <w:color w:val="FF0000"/>
          <w:spacing w:val="-3"/>
        </w:rPr>
        <w:t>OR</w:t>
      </w:r>
    </w:p>
    <w:p w:rsidR="00DB5DB6" w:rsidRDefault="00DB5DB6">
      <w:pPr>
        <w:suppressAutoHyphens/>
        <w:ind w:left="756" w:hanging="810"/>
        <w:jc w:val="both"/>
        <w:rPr>
          <w:i/>
          <w:color w:val="FF0000"/>
          <w:spacing w:val="-3"/>
        </w:rPr>
      </w:pPr>
    </w:p>
    <w:p w:rsidR="00DB5DB6" w:rsidRDefault="00DB5DB6">
      <w:pPr>
        <w:suppressAutoHyphens/>
        <w:ind w:left="756"/>
        <w:jc w:val="both"/>
        <w:rPr>
          <w:iCs/>
          <w:color w:val="0000FF"/>
          <w:spacing w:val="-3"/>
        </w:rPr>
      </w:pPr>
      <w:r>
        <w:rPr>
          <w:spacing w:val="-3"/>
        </w:rPr>
        <w:t xml:space="preserve">The applicant is proposing to modify its existing emissions unit with an AIPE of </w:t>
      </w:r>
      <w:r>
        <w:rPr>
          <w:color w:val="0000FF"/>
          <w:spacing w:val="-3"/>
        </w:rPr>
        <w:t>[  ]</w:t>
      </w:r>
      <w:r>
        <w:rPr>
          <w:spacing w:val="-3"/>
        </w:rPr>
        <w:t xml:space="preserve"> lb/day for VOC as calculated in the following section.  Since the daily VOC emissions are </w:t>
      </w:r>
      <w:r>
        <w:rPr>
          <w:color w:val="0000FF"/>
          <w:spacing w:val="-3"/>
        </w:rPr>
        <w:t>[greater</w:t>
      </w:r>
      <w:r w:rsidR="00A15467">
        <w:rPr>
          <w:color w:val="0000FF"/>
          <w:spacing w:val="-3"/>
        </w:rPr>
        <w:t>/</w:t>
      </w:r>
      <w:r>
        <w:rPr>
          <w:color w:val="0000FF"/>
          <w:spacing w:val="-3"/>
        </w:rPr>
        <w:t>less]</w:t>
      </w:r>
      <w:r>
        <w:rPr>
          <w:spacing w:val="-3"/>
        </w:rPr>
        <w:t xml:space="preserve"> than 2.0 lbs/day, BACT </w:t>
      </w:r>
      <w:r>
        <w:rPr>
          <w:color w:val="0000FF"/>
          <w:spacing w:val="-3"/>
        </w:rPr>
        <w:t>[will</w:t>
      </w:r>
      <w:r w:rsidR="00A15467">
        <w:rPr>
          <w:color w:val="0000FF"/>
          <w:spacing w:val="-3"/>
        </w:rPr>
        <w:t>/</w:t>
      </w:r>
      <w:r>
        <w:rPr>
          <w:color w:val="0000FF"/>
          <w:spacing w:val="-3"/>
        </w:rPr>
        <w:t>will not]</w:t>
      </w:r>
      <w:r>
        <w:rPr>
          <w:spacing w:val="-3"/>
        </w:rPr>
        <w:t xml:space="preserve"> be triggered.  </w:t>
      </w:r>
    </w:p>
    <w:p w:rsidR="00DB5DB6" w:rsidRDefault="00DB5DB6">
      <w:pPr>
        <w:suppressAutoHyphens/>
        <w:ind w:left="720"/>
        <w:jc w:val="both"/>
        <w:rPr>
          <w:spacing w:val="-3"/>
        </w:rPr>
      </w:pPr>
    </w:p>
    <w:p w:rsidR="00DB5DB6" w:rsidRDefault="00DB5DB6">
      <w:pPr>
        <w:suppressAutoHyphens/>
        <w:ind w:left="1530" w:hanging="810"/>
        <w:jc w:val="both"/>
        <w:rPr>
          <w:bCs/>
          <w:spacing w:val="-3"/>
        </w:rPr>
      </w:pPr>
      <w:r>
        <w:rPr>
          <w:bCs/>
          <w:spacing w:val="-3"/>
          <w:u w:val="single"/>
        </w:rPr>
        <w:t>Adjusted Increase in Permitted Emissions (AIPE)</w:t>
      </w:r>
    </w:p>
    <w:p w:rsidR="00DB5DB6" w:rsidRDefault="00DB5DB6">
      <w:pPr>
        <w:suppressAutoHyphens/>
        <w:ind w:left="1440"/>
        <w:jc w:val="both"/>
        <w:rPr>
          <w:spacing w:val="-3"/>
        </w:rPr>
      </w:pPr>
    </w:p>
    <w:p w:rsidR="00DB5DB6" w:rsidRDefault="00DB5DB6">
      <w:pPr>
        <w:ind w:left="1440"/>
        <w:rPr>
          <w:snapToGrid w:val="0"/>
        </w:rPr>
      </w:pPr>
      <w:r>
        <w:rPr>
          <w:snapToGrid w:val="0"/>
        </w:rPr>
        <w:t>AIPE = PE2 – HAPE where,</w:t>
      </w:r>
    </w:p>
    <w:p w:rsidR="00DB5DB6" w:rsidRDefault="00DB5DB6">
      <w:pPr>
        <w:ind w:left="1440"/>
        <w:rPr>
          <w:snapToGrid w:val="0"/>
        </w:rPr>
      </w:pPr>
    </w:p>
    <w:p w:rsidR="00DB5DB6" w:rsidRDefault="00DB5DB6">
      <w:pPr>
        <w:ind w:left="720" w:firstLine="720"/>
        <w:jc w:val="both"/>
        <w:rPr>
          <w:snapToGrid w:val="0"/>
        </w:rPr>
      </w:pPr>
      <w:r>
        <w:rPr>
          <w:snapToGrid w:val="0"/>
        </w:rPr>
        <w:t>AIPE =</w:t>
      </w:r>
      <w:r>
        <w:rPr>
          <w:snapToGrid w:val="0"/>
        </w:rPr>
        <w:tab/>
        <w:t>Adjusted Increase in Permitted Emissions, lb/day.</w:t>
      </w:r>
    </w:p>
    <w:p w:rsidR="00DB5DB6" w:rsidRDefault="00DB5DB6">
      <w:pPr>
        <w:ind w:left="1440"/>
        <w:jc w:val="both"/>
        <w:rPr>
          <w:snapToGrid w:val="0"/>
        </w:rPr>
      </w:pPr>
      <w:r>
        <w:rPr>
          <w:snapToGrid w:val="0"/>
        </w:rPr>
        <w:t xml:space="preserve">PE2 = </w:t>
      </w:r>
      <w:r>
        <w:rPr>
          <w:snapToGrid w:val="0"/>
        </w:rPr>
        <w:tab/>
        <w:t>the emission unit’s post project Potential to Emit, lb/day.</w:t>
      </w:r>
    </w:p>
    <w:p w:rsidR="00DB5DB6" w:rsidRDefault="00DB5DB6">
      <w:pPr>
        <w:ind w:left="720" w:firstLine="720"/>
        <w:jc w:val="both"/>
        <w:rPr>
          <w:snapToGrid w:val="0"/>
        </w:rPr>
      </w:pPr>
      <w:r>
        <w:rPr>
          <w:snapToGrid w:val="0"/>
        </w:rPr>
        <w:t xml:space="preserve">HAPE = </w:t>
      </w:r>
      <w:r>
        <w:rPr>
          <w:snapToGrid w:val="0"/>
        </w:rPr>
        <w:tab/>
        <w:t xml:space="preserve">the emission unit’s Historically Adjusted Potential to </w:t>
      </w:r>
    </w:p>
    <w:p w:rsidR="00DB5DB6" w:rsidRDefault="00DB5DB6">
      <w:pPr>
        <w:ind w:left="2880"/>
        <w:jc w:val="both"/>
        <w:rPr>
          <w:snapToGrid w:val="0"/>
        </w:rPr>
      </w:pPr>
      <w:r>
        <w:rPr>
          <w:snapToGrid w:val="0"/>
        </w:rPr>
        <w:t>Emit, lb/day.</w:t>
      </w:r>
    </w:p>
    <w:p w:rsidR="00DB5DB6" w:rsidRDefault="00DB5DB6">
      <w:pPr>
        <w:ind w:left="1440"/>
        <w:jc w:val="both"/>
        <w:rPr>
          <w:snapToGrid w:val="0"/>
        </w:rPr>
      </w:pPr>
    </w:p>
    <w:p w:rsidR="00DB5DB6" w:rsidRDefault="00DB5DB6">
      <w:pPr>
        <w:pStyle w:val="BodyTextIndent"/>
        <w:suppressAutoHyphens w:val="0"/>
        <w:rPr>
          <w:spacing w:val="0"/>
        </w:rPr>
      </w:pPr>
      <w:r>
        <w:rPr>
          <w:spacing w:val="0"/>
        </w:rPr>
        <w:t>Historically Adjusted Potential to Emit (HAPE) Calculations:</w:t>
      </w:r>
    </w:p>
    <w:p w:rsidR="00DB5DB6" w:rsidRDefault="00DB5DB6">
      <w:pPr>
        <w:jc w:val="both"/>
      </w:pPr>
    </w:p>
    <w:p w:rsidR="00DB5DB6" w:rsidRDefault="00DB5DB6">
      <w:pPr>
        <w:ind w:left="720"/>
        <w:jc w:val="both"/>
      </w:pPr>
      <w:r>
        <w:t>HAPE = PE1 x (EF2 / EF1) where,</w:t>
      </w:r>
    </w:p>
    <w:p w:rsidR="00DB5DB6" w:rsidRDefault="00DB5DB6">
      <w:pPr>
        <w:ind w:left="720"/>
        <w:jc w:val="both"/>
      </w:pPr>
    </w:p>
    <w:p w:rsidR="00DB5DB6" w:rsidRDefault="00DB5DB6">
      <w:pPr>
        <w:tabs>
          <w:tab w:val="left" w:pos="2340"/>
        </w:tabs>
        <w:ind w:left="1620" w:hanging="900"/>
        <w:jc w:val="both"/>
        <w:rPr>
          <w:snapToGrid w:val="0"/>
        </w:rPr>
      </w:pPr>
      <w:r>
        <w:rPr>
          <w:snapToGrid w:val="0"/>
        </w:rPr>
        <w:t xml:space="preserve">PE1 = </w:t>
      </w:r>
      <w:r w:rsidR="00CF4B28">
        <w:rPr>
          <w:snapToGrid w:val="0"/>
        </w:rPr>
        <w:tab/>
      </w:r>
      <w:r>
        <w:rPr>
          <w:snapToGrid w:val="0"/>
        </w:rPr>
        <w:t>The emission unit’s Potential to Emit prior to modification or relocation.</w:t>
      </w:r>
    </w:p>
    <w:p w:rsidR="00DB5DB6" w:rsidRDefault="00DB5DB6">
      <w:pPr>
        <w:ind w:left="1620" w:hanging="900"/>
        <w:jc w:val="both"/>
        <w:rPr>
          <w:snapToGrid w:val="0"/>
        </w:rPr>
      </w:pPr>
      <w:r>
        <w:rPr>
          <w:snapToGrid w:val="0"/>
        </w:rPr>
        <w:t xml:space="preserve">EF2 =  </w:t>
      </w:r>
      <w:r>
        <w:rPr>
          <w:snapToGrid w:val="0"/>
        </w:rPr>
        <w:tab/>
        <w:t>The emission unit’s permitted emission factor for the pollutant after modification or relocation. If EF2 is greater than EF1 then EF2/EF1 shall be set to 1.</w:t>
      </w:r>
    </w:p>
    <w:p w:rsidR="00DB5DB6" w:rsidRDefault="00DB5DB6">
      <w:pPr>
        <w:ind w:left="1620" w:hanging="900"/>
        <w:jc w:val="both"/>
        <w:rPr>
          <w:snapToGrid w:val="0"/>
        </w:rPr>
      </w:pPr>
      <w:r>
        <w:rPr>
          <w:snapToGrid w:val="0"/>
        </w:rPr>
        <w:t>EF1 = The emission unit’s permitted emission factor for the pollutant before the modification or relocation.</w:t>
      </w:r>
    </w:p>
    <w:p w:rsidR="00DB5DB6" w:rsidRDefault="00DB5DB6">
      <w:pPr>
        <w:ind w:left="1440"/>
        <w:jc w:val="both"/>
        <w:rPr>
          <w:snapToGrid w:val="0"/>
        </w:rPr>
      </w:pPr>
    </w:p>
    <w:p w:rsidR="00DB5DB6" w:rsidRDefault="00DB5DB6">
      <w:pPr>
        <w:ind w:left="720"/>
        <w:jc w:val="both"/>
        <w:rPr>
          <w:snapToGrid w:val="0"/>
        </w:rPr>
      </w:pPr>
      <w:r>
        <w:rPr>
          <w:snapToGrid w:val="0"/>
        </w:rPr>
        <w:t xml:space="preserve">EF1 = </w:t>
      </w:r>
      <w:r>
        <w:rPr>
          <w:color w:val="0000FF"/>
          <w:spacing w:val="-3"/>
        </w:rPr>
        <w:t xml:space="preserve">[  ] </w:t>
      </w:r>
      <w:r>
        <w:rPr>
          <w:spacing w:val="-3"/>
        </w:rPr>
        <w:t xml:space="preserve">% </w:t>
      </w:r>
      <w:r>
        <w:rPr>
          <w:spacing w:val="-2"/>
          <w:sz w:val="20"/>
        </w:rPr>
        <w:t xml:space="preserve">(Taken from project # </w:t>
      </w:r>
      <w:r>
        <w:rPr>
          <w:color w:val="0000FF"/>
          <w:spacing w:val="-2"/>
          <w:sz w:val="20"/>
        </w:rPr>
        <w:t>[      ])</w:t>
      </w:r>
    </w:p>
    <w:p w:rsidR="00DB5DB6" w:rsidRDefault="00DB5DB6">
      <w:pPr>
        <w:ind w:firstLine="720"/>
        <w:jc w:val="both"/>
        <w:rPr>
          <w:snapToGrid w:val="0"/>
        </w:rPr>
      </w:pPr>
      <w:r>
        <w:rPr>
          <w:snapToGrid w:val="0"/>
        </w:rPr>
        <w:t xml:space="preserve">EF2 = </w:t>
      </w:r>
      <w:r>
        <w:rPr>
          <w:color w:val="0000FF"/>
          <w:spacing w:val="-3"/>
        </w:rPr>
        <w:t>[  ]</w:t>
      </w:r>
      <w:r>
        <w:rPr>
          <w:spacing w:val="-3"/>
        </w:rPr>
        <w:t xml:space="preserve"> % </w:t>
      </w:r>
      <w:r>
        <w:rPr>
          <w:spacing w:val="-2"/>
          <w:sz w:val="20"/>
        </w:rPr>
        <w:t>(As proposed by the applicant, 95% District BACT requirement)</w:t>
      </w:r>
    </w:p>
    <w:p w:rsidR="00DB5DB6" w:rsidRDefault="00DB5DB6">
      <w:pPr>
        <w:ind w:left="720"/>
        <w:jc w:val="both"/>
        <w:rPr>
          <w:snapToGrid w:val="0"/>
        </w:rPr>
      </w:pPr>
    </w:p>
    <w:p w:rsidR="00DB5DB6" w:rsidRDefault="00DB5DB6">
      <w:pPr>
        <w:ind w:left="720"/>
        <w:jc w:val="both"/>
      </w:pPr>
      <w:r>
        <w:rPr>
          <w:snapToGrid w:val="0"/>
        </w:rPr>
        <w:t xml:space="preserve">AIPE </w:t>
      </w:r>
      <w:r>
        <w:rPr>
          <w:spacing w:val="-3"/>
        </w:rPr>
        <w:t xml:space="preserve">(lb/day) </w:t>
      </w:r>
      <w:r>
        <w:rPr>
          <w:snapToGrid w:val="0"/>
        </w:rPr>
        <w:t xml:space="preserve">= PE2 </w:t>
      </w:r>
      <w:r>
        <w:rPr>
          <w:spacing w:val="-3"/>
        </w:rPr>
        <w:t xml:space="preserve">(lb/day) </w:t>
      </w:r>
      <w:r>
        <w:rPr>
          <w:snapToGrid w:val="0"/>
        </w:rPr>
        <w:t>– [</w:t>
      </w:r>
      <w:r>
        <w:t xml:space="preserve">PE1 </w:t>
      </w:r>
      <w:r>
        <w:rPr>
          <w:spacing w:val="-3"/>
        </w:rPr>
        <w:t xml:space="preserve">(lb/day) </w:t>
      </w:r>
      <w:r>
        <w:t>x (EF2 / EF1)]</w:t>
      </w:r>
    </w:p>
    <w:p w:rsidR="00DB5DB6" w:rsidRDefault="00DB5DB6">
      <w:pPr>
        <w:ind w:left="1440" w:firstLine="720"/>
        <w:jc w:val="both"/>
      </w:pPr>
      <w:r>
        <w:rPr>
          <w:snapToGrid w:val="0"/>
        </w:rPr>
        <w:t xml:space="preserve">= PE2 </w:t>
      </w:r>
      <w:r>
        <w:rPr>
          <w:spacing w:val="-3"/>
        </w:rPr>
        <w:t xml:space="preserve">(lb/day) </w:t>
      </w:r>
      <w:r>
        <w:rPr>
          <w:snapToGrid w:val="0"/>
        </w:rPr>
        <w:t>– [</w:t>
      </w:r>
      <w:r>
        <w:t xml:space="preserve">PE1 </w:t>
      </w:r>
      <w:r>
        <w:rPr>
          <w:spacing w:val="-3"/>
        </w:rPr>
        <w:t xml:space="preserve">(lb/day) </w:t>
      </w:r>
      <w:r>
        <w:t xml:space="preserve">x </w:t>
      </w:r>
      <w:r>
        <w:rPr>
          <w:color w:val="0000FF"/>
        </w:rPr>
        <w:t>(0.95 / 0.95)]</w:t>
      </w:r>
    </w:p>
    <w:p w:rsidR="00DB5DB6" w:rsidRDefault="00DB5DB6">
      <w:pPr>
        <w:ind w:left="1440" w:firstLine="720"/>
        <w:jc w:val="both"/>
      </w:pPr>
      <w:r>
        <w:rPr>
          <w:snapToGrid w:val="0"/>
        </w:rPr>
        <w:lastRenderedPageBreak/>
        <w:t xml:space="preserve">= PE2 </w:t>
      </w:r>
      <w:r>
        <w:rPr>
          <w:spacing w:val="-3"/>
        </w:rPr>
        <w:t xml:space="preserve">(lb/day) </w:t>
      </w:r>
      <w:r>
        <w:rPr>
          <w:snapToGrid w:val="0"/>
        </w:rPr>
        <w:t>– [</w:t>
      </w:r>
      <w:r>
        <w:t xml:space="preserve">PE1 </w:t>
      </w:r>
      <w:r>
        <w:rPr>
          <w:spacing w:val="-3"/>
        </w:rPr>
        <w:t xml:space="preserve">(lb/day) </w:t>
      </w:r>
      <w:r>
        <w:t>x 1]</w:t>
      </w:r>
    </w:p>
    <w:p w:rsidR="00DB5DB6" w:rsidRDefault="00DB5DB6">
      <w:pPr>
        <w:ind w:left="1440" w:firstLine="720"/>
        <w:jc w:val="both"/>
        <w:rPr>
          <w:spacing w:val="-3"/>
        </w:rPr>
      </w:pPr>
      <w:r>
        <w:rPr>
          <w:snapToGrid w:val="0"/>
        </w:rPr>
        <w:t xml:space="preserve">= PE2 </w:t>
      </w:r>
      <w:r>
        <w:rPr>
          <w:spacing w:val="-3"/>
        </w:rPr>
        <w:t xml:space="preserve">(lb/day) </w:t>
      </w:r>
      <w:r>
        <w:rPr>
          <w:snapToGrid w:val="0"/>
        </w:rPr>
        <w:t xml:space="preserve">– </w:t>
      </w:r>
      <w:r>
        <w:t xml:space="preserve">PE1 </w:t>
      </w:r>
      <w:r>
        <w:rPr>
          <w:spacing w:val="-3"/>
        </w:rPr>
        <w:t>(lb/day)</w:t>
      </w:r>
    </w:p>
    <w:p w:rsidR="00DB5DB6" w:rsidRDefault="00DB5DB6">
      <w:pPr>
        <w:suppressAutoHyphens/>
        <w:rPr>
          <w:b/>
          <w:bCs/>
          <w:spacing w:val="-3"/>
        </w:rPr>
      </w:pPr>
    </w:p>
    <w:tbl>
      <w:tblPr>
        <w:tblW w:w="0" w:type="auto"/>
        <w:jc w:val="center"/>
        <w:tblInd w:w="366" w:type="dxa"/>
        <w:tblLayout w:type="fixed"/>
        <w:tblCellMar>
          <w:left w:w="122" w:type="dxa"/>
          <w:right w:w="122" w:type="dxa"/>
        </w:tblCellMar>
        <w:tblLook w:val="0000" w:firstRow="0" w:lastRow="0" w:firstColumn="0" w:lastColumn="0" w:noHBand="0" w:noVBand="0"/>
      </w:tblPr>
      <w:tblGrid>
        <w:gridCol w:w="1270"/>
        <w:gridCol w:w="1980"/>
        <w:gridCol w:w="2070"/>
        <w:gridCol w:w="2446"/>
      </w:tblGrid>
      <w:tr w:rsidR="00DB5DB6" w:rsidTr="00D917EC">
        <w:trPr>
          <w:trHeight w:val="410"/>
          <w:jc w:val="center"/>
        </w:trPr>
        <w:tc>
          <w:tcPr>
            <w:tcW w:w="7766" w:type="dxa"/>
            <w:gridSpan w:val="4"/>
            <w:tcBorders>
              <w:top w:val="double" w:sz="6" w:space="0" w:color="auto"/>
              <w:left w:val="double" w:sz="6" w:space="0" w:color="auto"/>
              <w:right w:val="double" w:sz="6" w:space="0" w:color="auto"/>
            </w:tcBorders>
            <w:shd w:val="clear" w:color="auto" w:fill="auto"/>
            <w:vAlign w:val="center"/>
          </w:tcPr>
          <w:p w:rsidR="00DB5DB6" w:rsidRDefault="00DB5DB6">
            <w:pPr>
              <w:keepNext/>
              <w:suppressAutoHyphens/>
              <w:spacing w:before="40" w:after="40"/>
              <w:jc w:val="center"/>
              <w:rPr>
                <w:b/>
                <w:bCs/>
                <w:spacing w:val="-3"/>
              </w:rPr>
            </w:pPr>
            <w:r>
              <w:rPr>
                <w:b/>
                <w:bCs/>
                <w:noProof/>
                <w:spacing w:val="-3"/>
              </w:rPr>
              <w:t>Adjusted Increase in Permitted Emissions (AIPE)</w:t>
            </w:r>
          </w:p>
        </w:tc>
      </w:tr>
      <w:tr w:rsidR="00DB5DB6" w:rsidTr="00D917EC">
        <w:trPr>
          <w:trHeight w:val="473"/>
          <w:jc w:val="center"/>
        </w:trPr>
        <w:tc>
          <w:tcPr>
            <w:tcW w:w="1270" w:type="dxa"/>
            <w:tcBorders>
              <w:top w:val="double" w:sz="6" w:space="0" w:color="auto"/>
              <w:left w:val="double" w:sz="6" w:space="0" w:color="auto"/>
            </w:tcBorders>
            <w:shd w:val="clear" w:color="auto" w:fill="auto"/>
            <w:vAlign w:val="center"/>
          </w:tcPr>
          <w:p w:rsidR="00DB5DB6" w:rsidRDefault="00DB5DB6">
            <w:pPr>
              <w:keepNext/>
              <w:suppressAutoHyphens/>
              <w:jc w:val="center"/>
              <w:rPr>
                <w:b/>
                <w:bCs/>
                <w:spacing w:val="-3"/>
              </w:rPr>
            </w:pPr>
            <w:r>
              <w:rPr>
                <w:b/>
                <w:bCs/>
                <w:spacing w:val="-3"/>
              </w:rPr>
              <w:t>Pollutant</w:t>
            </w:r>
          </w:p>
        </w:tc>
        <w:tc>
          <w:tcPr>
            <w:tcW w:w="1980" w:type="dxa"/>
            <w:tcBorders>
              <w:top w:val="double" w:sz="6" w:space="0" w:color="auto"/>
              <w:left w:val="single" w:sz="6" w:space="0" w:color="auto"/>
            </w:tcBorders>
            <w:shd w:val="clear" w:color="auto" w:fill="auto"/>
            <w:vAlign w:val="center"/>
          </w:tcPr>
          <w:p w:rsidR="00DB5DB6" w:rsidRDefault="00DB5DB6">
            <w:pPr>
              <w:keepNext/>
              <w:suppressAutoHyphens/>
              <w:jc w:val="center"/>
              <w:rPr>
                <w:b/>
                <w:bCs/>
                <w:spacing w:val="-3"/>
              </w:rPr>
            </w:pPr>
            <w:r>
              <w:rPr>
                <w:b/>
                <w:bCs/>
                <w:spacing w:val="-3"/>
              </w:rPr>
              <w:t>PE</w:t>
            </w:r>
            <w:r>
              <w:rPr>
                <w:b/>
                <w:bCs/>
                <w:spacing w:val="-3"/>
                <w:vertAlign w:val="subscript"/>
              </w:rPr>
              <w:t>2</w:t>
            </w:r>
          </w:p>
          <w:p w:rsidR="00DB5DB6" w:rsidRDefault="00DB5DB6">
            <w:pPr>
              <w:keepNext/>
              <w:rPr>
                <w:b/>
                <w:bCs/>
                <w:sz w:val="16"/>
              </w:rPr>
            </w:pPr>
            <w:r>
              <w:rPr>
                <w:b/>
                <w:bCs/>
                <w:sz w:val="16"/>
              </w:rPr>
              <w:t>Daily Post Project</w:t>
            </w:r>
          </w:p>
          <w:p w:rsidR="00DB5DB6" w:rsidRDefault="00DB5DB6">
            <w:pPr>
              <w:keepNext/>
              <w:suppressAutoHyphens/>
              <w:jc w:val="center"/>
              <w:rPr>
                <w:b/>
                <w:bCs/>
                <w:spacing w:val="-3"/>
              </w:rPr>
            </w:pPr>
            <w:r>
              <w:rPr>
                <w:b/>
                <w:bCs/>
                <w:spacing w:val="-3"/>
              </w:rPr>
              <w:t>(lb/day)</w:t>
            </w:r>
          </w:p>
        </w:tc>
        <w:tc>
          <w:tcPr>
            <w:tcW w:w="2070" w:type="dxa"/>
            <w:tcBorders>
              <w:top w:val="double" w:sz="6" w:space="0" w:color="auto"/>
              <w:left w:val="single" w:sz="6" w:space="0" w:color="auto"/>
            </w:tcBorders>
            <w:shd w:val="clear" w:color="auto" w:fill="auto"/>
            <w:vAlign w:val="center"/>
          </w:tcPr>
          <w:p w:rsidR="00DB5DB6" w:rsidRDefault="00DB5DB6">
            <w:pPr>
              <w:keepNext/>
              <w:suppressAutoHyphens/>
              <w:jc w:val="center"/>
              <w:rPr>
                <w:b/>
                <w:bCs/>
                <w:spacing w:val="-3"/>
              </w:rPr>
            </w:pPr>
            <w:r>
              <w:rPr>
                <w:b/>
                <w:bCs/>
                <w:spacing w:val="-3"/>
              </w:rPr>
              <w:t>PE</w:t>
            </w:r>
            <w:r>
              <w:rPr>
                <w:b/>
                <w:bCs/>
                <w:spacing w:val="-3"/>
                <w:vertAlign w:val="subscript"/>
              </w:rPr>
              <w:t>1</w:t>
            </w:r>
          </w:p>
          <w:p w:rsidR="00DB5DB6" w:rsidRDefault="00DB5DB6">
            <w:pPr>
              <w:keepNext/>
              <w:suppressAutoHyphens/>
              <w:jc w:val="center"/>
              <w:rPr>
                <w:b/>
                <w:bCs/>
                <w:spacing w:val="-3"/>
                <w:sz w:val="16"/>
              </w:rPr>
            </w:pPr>
            <w:r>
              <w:rPr>
                <w:b/>
                <w:bCs/>
                <w:sz w:val="16"/>
              </w:rPr>
              <w:t>Daily Pre Project</w:t>
            </w:r>
          </w:p>
          <w:p w:rsidR="00DB5DB6" w:rsidRDefault="00DB5DB6">
            <w:pPr>
              <w:keepNext/>
              <w:suppressAutoHyphens/>
              <w:jc w:val="center"/>
              <w:rPr>
                <w:b/>
                <w:bCs/>
                <w:spacing w:val="-3"/>
              </w:rPr>
            </w:pPr>
            <w:r>
              <w:rPr>
                <w:b/>
                <w:bCs/>
                <w:spacing w:val="-3"/>
              </w:rPr>
              <w:t>(lb/day)</w:t>
            </w:r>
          </w:p>
        </w:tc>
        <w:tc>
          <w:tcPr>
            <w:tcW w:w="2446" w:type="dxa"/>
            <w:tcBorders>
              <w:top w:val="double" w:sz="6" w:space="0" w:color="auto"/>
              <w:left w:val="single" w:sz="6" w:space="0" w:color="auto"/>
              <w:right w:val="double" w:sz="6" w:space="0" w:color="auto"/>
            </w:tcBorders>
            <w:shd w:val="clear" w:color="auto" w:fill="auto"/>
            <w:vAlign w:val="center"/>
          </w:tcPr>
          <w:p w:rsidR="00DB5DB6" w:rsidRDefault="00DB5DB6">
            <w:pPr>
              <w:keepNext/>
              <w:suppressAutoHyphens/>
              <w:jc w:val="center"/>
              <w:rPr>
                <w:b/>
                <w:bCs/>
                <w:spacing w:val="-3"/>
              </w:rPr>
            </w:pPr>
            <w:r>
              <w:rPr>
                <w:b/>
                <w:bCs/>
                <w:spacing w:val="-3"/>
              </w:rPr>
              <w:t>AIPE</w:t>
            </w:r>
          </w:p>
          <w:p w:rsidR="00DB5DB6" w:rsidRDefault="00DB5DB6">
            <w:pPr>
              <w:keepNext/>
              <w:suppressAutoHyphens/>
              <w:jc w:val="center"/>
              <w:rPr>
                <w:b/>
                <w:bCs/>
                <w:spacing w:val="-3"/>
              </w:rPr>
            </w:pPr>
            <w:r>
              <w:rPr>
                <w:b/>
                <w:bCs/>
                <w:spacing w:val="-3"/>
              </w:rPr>
              <w:t>(lb/day)</w:t>
            </w:r>
          </w:p>
        </w:tc>
      </w:tr>
      <w:tr w:rsidR="00DB5DB6" w:rsidTr="00D917EC">
        <w:trPr>
          <w:jc w:val="center"/>
        </w:trPr>
        <w:tc>
          <w:tcPr>
            <w:tcW w:w="1270" w:type="dxa"/>
            <w:tcBorders>
              <w:top w:val="double" w:sz="6" w:space="0" w:color="auto"/>
              <w:left w:val="double" w:sz="6" w:space="0" w:color="auto"/>
            </w:tcBorders>
            <w:shd w:val="clear" w:color="auto" w:fill="auto"/>
          </w:tcPr>
          <w:p w:rsidR="00DB5DB6" w:rsidRDefault="00DB5DB6">
            <w:pPr>
              <w:keepNext/>
              <w:suppressAutoHyphens/>
              <w:jc w:val="center"/>
              <w:rPr>
                <w:spacing w:val="-3"/>
              </w:rPr>
            </w:pPr>
            <w:r>
              <w:rPr>
                <w:noProof/>
                <w:spacing w:val="-3"/>
              </w:rPr>
              <w:t>NO</w:t>
            </w:r>
            <w:r>
              <w:rPr>
                <w:noProof/>
                <w:spacing w:val="-3"/>
                <w:vertAlign w:val="subscript"/>
              </w:rPr>
              <w:t>x</w:t>
            </w:r>
          </w:p>
        </w:tc>
        <w:tc>
          <w:tcPr>
            <w:tcW w:w="1980" w:type="dxa"/>
            <w:tcBorders>
              <w:top w:val="double" w:sz="6" w:space="0" w:color="auto"/>
              <w:left w:val="single" w:sz="6" w:space="0" w:color="auto"/>
            </w:tcBorders>
            <w:shd w:val="clear" w:color="auto" w:fill="auto"/>
            <w:vAlign w:val="center"/>
          </w:tcPr>
          <w:p w:rsidR="00DB5DB6" w:rsidRDefault="00DB5DB6">
            <w:pPr>
              <w:keepNext/>
              <w:jc w:val="center"/>
              <w:rPr>
                <w:snapToGrid w:val="0"/>
                <w:color w:val="0000FF"/>
              </w:rPr>
            </w:pPr>
            <w:r>
              <w:rPr>
                <w:snapToGrid w:val="0"/>
                <w:color w:val="0000FF"/>
              </w:rPr>
              <w:t>--</w:t>
            </w:r>
          </w:p>
        </w:tc>
        <w:tc>
          <w:tcPr>
            <w:tcW w:w="2070" w:type="dxa"/>
            <w:tcBorders>
              <w:top w:val="double" w:sz="6" w:space="0" w:color="auto"/>
              <w:left w:val="single" w:sz="6" w:space="0" w:color="auto"/>
            </w:tcBorders>
            <w:shd w:val="clear" w:color="auto" w:fill="auto"/>
            <w:vAlign w:val="center"/>
          </w:tcPr>
          <w:p w:rsidR="00DB5DB6" w:rsidRDefault="00DB5DB6">
            <w:pPr>
              <w:keepNext/>
              <w:jc w:val="center"/>
              <w:rPr>
                <w:snapToGrid w:val="0"/>
                <w:color w:val="0000FF"/>
              </w:rPr>
            </w:pPr>
            <w:r>
              <w:rPr>
                <w:snapToGrid w:val="0"/>
                <w:color w:val="0000FF"/>
              </w:rPr>
              <w:t>--</w:t>
            </w:r>
          </w:p>
        </w:tc>
        <w:tc>
          <w:tcPr>
            <w:tcW w:w="2446" w:type="dxa"/>
            <w:tcBorders>
              <w:top w:val="double" w:sz="6" w:space="0" w:color="auto"/>
              <w:left w:val="single" w:sz="6" w:space="0" w:color="auto"/>
              <w:right w:val="double" w:sz="6" w:space="0" w:color="auto"/>
            </w:tcBorders>
            <w:shd w:val="clear" w:color="auto" w:fill="auto"/>
            <w:vAlign w:val="center"/>
          </w:tcPr>
          <w:p w:rsidR="00DB5DB6" w:rsidRDefault="00DB5DB6">
            <w:pPr>
              <w:keepNext/>
              <w:jc w:val="center"/>
              <w:rPr>
                <w:snapToGrid w:val="0"/>
                <w:color w:val="0000FF"/>
              </w:rPr>
            </w:pPr>
            <w:r>
              <w:rPr>
                <w:snapToGrid w:val="0"/>
                <w:color w:val="0000FF"/>
              </w:rPr>
              <w:t>--</w:t>
            </w:r>
          </w:p>
        </w:tc>
      </w:tr>
      <w:tr w:rsidR="00DB5DB6" w:rsidTr="00D917EC">
        <w:trPr>
          <w:jc w:val="center"/>
        </w:trPr>
        <w:tc>
          <w:tcPr>
            <w:tcW w:w="1270" w:type="dxa"/>
            <w:tcBorders>
              <w:top w:val="single" w:sz="6" w:space="0" w:color="auto"/>
              <w:left w:val="double" w:sz="6" w:space="0" w:color="auto"/>
            </w:tcBorders>
            <w:shd w:val="clear" w:color="auto" w:fill="auto"/>
          </w:tcPr>
          <w:p w:rsidR="00DB5DB6" w:rsidRDefault="00DB5DB6">
            <w:pPr>
              <w:keepNext/>
              <w:suppressAutoHyphens/>
              <w:jc w:val="center"/>
              <w:rPr>
                <w:spacing w:val="-3"/>
              </w:rPr>
            </w:pPr>
            <w:r>
              <w:rPr>
                <w:noProof/>
                <w:spacing w:val="-3"/>
              </w:rPr>
              <w:t>SO</w:t>
            </w:r>
            <w:r>
              <w:rPr>
                <w:noProof/>
                <w:spacing w:val="-3"/>
                <w:vertAlign w:val="subscript"/>
              </w:rPr>
              <w:t>x</w:t>
            </w:r>
          </w:p>
        </w:tc>
        <w:tc>
          <w:tcPr>
            <w:tcW w:w="1980" w:type="dxa"/>
            <w:tcBorders>
              <w:top w:val="single" w:sz="6" w:space="0" w:color="auto"/>
              <w:left w:val="single" w:sz="6" w:space="0" w:color="auto"/>
            </w:tcBorders>
            <w:shd w:val="clear" w:color="auto" w:fill="auto"/>
            <w:vAlign w:val="center"/>
          </w:tcPr>
          <w:p w:rsidR="00DB5DB6" w:rsidRDefault="00DB5DB6">
            <w:pPr>
              <w:keepNext/>
              <w:jc w:val="center"/>
              <w:rPr>
                <w:snapToGrid w:val="0"/>
                <w:color w:val="0000FF"/>
              </w:rPr>
            </w:pPr>
            <w:r>
              <w:rPr>
                <w:snapToGrid w:val="0"/>
                <w:color w:val="0000FF"/>
              </w:rPr>
              <w:t>--</w:t>
            </w:r>
          </w:p>
        </w:tc>
        <w:tc>
          <w:tcPr>
            <w:tcW w:w="2070" w:type="dxa"/>
            <w:tcBorders>
              <w:top w:val="single" w:sz="6" w:space="0" w:color="auto"/>
              <w:left w:val="single" w:sz="6" w:space="0" w:color="auto"/>
            </w:tcBorders>
            <w:shd w:val="clear" w:color="auto" w:fill="auto"/>
            <w:vAlign w:val="center"/>
          </w:tcPr>
          <w:p w:rsidR="00DB5DB6" w:rsidRDefault="00DB5DB6">
            <w:pPr>
              <w:keepNext/>
              <w:jc w:val="center"/>
              <w:rPr>
                <w:snapToGrid w:val="0"/>
                <w:color w:val="0000FF"/>
              </w:rPr>
            </w:pPr>
            <w:r>
              <w:rPr>
                <w:snapToGrid w:val="0"/>
                <w:color w:val="0000FF"/>
              </w:rPr>
              <w:t>--</w:t>
            </w:r>
          </w:p>
        </w:tc>
        <w:tc>
          <w:tcPr>
            <w:tcW w:w="2446" w:type="dxa"/>
            <w:tcBorders>
              <w:top w:val="single" w:sz="6" w:space="0" w:color="auto"/>
              <w:left w:val="single" w:sz="6" w:space="0" w:color="auto"/>
              <w:right w:val="double" w:sz="6" w:space="0" w:color="auto"/>
            </w:tcBorders>
            <w:shd w:val="clear" w:color="auto" w:fill="auto"/>
            <w:vAlign w:val="center"/>
          </w:tcPr>
          <w:p w:rsidR="00DB5DB6" w:rsidRDefault="00DB5DB6">
            <w:pPr>
              <w:keepNext/>
              <w:jc w:val="center"/>
              <w:rPr>
                <w:snapToGrid w:val="0"/>
                <w:color w:val="0000FF"/>
              </w:rPr>
            </w:pPr>
            <w:r>
              <w:rPr>
                <w:snapToGrid w:val="0"/>
                <w:color w:val="0000FF"/>
              </w:rPr>
              <w:t>--</w:t>
            </w:r>
          </w:p>
        </w:tc>
      </w:tr>
      <w:tr w:rsidR="00DB5DB6" w:rsidTr="00D917EC">
        <w:trPr>
          <w:jc w:val="center"/>
        </w:trPr>
        <w:tc>
          <w:tcPr>
            <w:tcW w:w="1270" w:type="dxa"/>
            <w:tcBorders>
              <w:top w:val="single" w:sz="6" w:space="0" w:color="auto"/>
              <w:left w:val="double" w:sz="6" w:space="0" w:color="auto"/>
            </w:tcBorders>
            <w:shd w:val="clear" w:color="auto" w:fill="auto"/>
          </w:tcPr>
          <w:p w:rsidR="00DB5DB6" w:rsidRDefault="00DB5DB6">
            <w:pPr>
              <w:keepNext/>
              <w:suppressAutoHyphens/>
              <w:jc w:val="center"/>
              <w:rPr>
                <w:spacing w:val="-3"/>
              </w:rPr>
            </w:pPr>
            <w:r>
              <w:rPr>
                <w:spacing w:val="-3"/>
              </w:rPr>
              <w:t>PM</w:t>
            </w:r>
            <w:r>
              <w:rPr>
                <w:spacing w:val="-3"/>
                <w:vertAlign w:val="subscript"/>
              </w:rPr>
              <w:t>10</w:t>
            </w:r>
          </w:p>
        </w:tc>
        <w:tc>
          <w:tcPr>
            <w:tcW w:w="1980" w:type="dxa"/>
            <w:tcBorders>
              <w:top w:val="single" w:sz="6" w:space="0" w:color="auto"/>
              <w:left w:val="single" w:sz="6" w:space="0" w:color="auto"/>
            </w:tcBorders>
            <w:shd w:val="clear" w:color="auto" w:fill="auto"/>
            <w:vAlign w:val="center"/>
          </w:tcPr>
          <w:p w:rsidR="00DB5DB6" w:rsidRDefault="00DB5DB6">
            <w:pPr>
              <w:keepNext/>
              <w:jc w:val="center"/>
              <w:rPr>
                <w:snapToGrid w:val="0"/>
                <w:color w:val="0000FF"/>
              </w:rPr>
            </w:pPr>
            <w:r>
              <w:rPr>
                <w:snapToGrid w:val="0"/>
                <w:color w:val="0000FF"/>
              </w:rPr>
              <w:t>--</w:t>
            </w:r>
          </w:p>
        </w:tc>
        <w:tc>
          <w:tcPr>
            <w:tcW w:w="2070" w:type="dxa"/>
            <w:tcBorders>
              <w:top w:val="single" w:sz="6" w:space="0" w:color="auto"/>
              <w:left w:val="single" w:sz="6" w:space="0" w:color="auto"/>
            </w:tcBorders>
            <w:shd w:val="clear" w:color="auto" w:fill="auto"/>
            <w:vAlign w:val="center"/>
          </w:tcPr>
          <w:p w:rsidR="00DB5DB6" w:rsidRDefault="00DB5DB6">
            <w:pPr>
              <w:keepNext/>
              <w:jc w:val="center"/>
              <w:rPr>
                <w:snapToGrid w:val="0"/>
                <w:color w:val="0000FF"/>
              </w:rPr>
            </w:pPr>
            <w:r>
              <w:rPr>
                <w:snapToGrid w:val="0"/>
                <w:color w:val="0000FF"/>
              </w:rPr>
              <w:t>--</w:t>
            </w:r>
          </w:p>
        </w:tc>
        <w:tc>
          <w:tcPr>
            <w:tcW w:w="2446" w:type="dxa"/>
            <w:tcBorders>
              <w:top w:val="single" w:sz="6" w:space="0" w:color="auto"/>
              <w:left w:val="single" w:sz="6" w:space="0" w:color="auto"/>
              <w:right w:val="double" w:sz="6" w:space="0" w:color="auto"/>
            </w:tcBorders>
            <w:shd w:val="clear" w:color="auto" w:fill="auto"/>
            <w:vAlign w:val="center"/>
          </w:tcPr>
          <w:p w:rsidR="00DB5DB6" w:rsidRDefault="00DB5DB6">
            <w:pPr>
              <w:keepNext/>
              <w:jc w:val="center"/>
              <w:rPr>
                <w:snapToGrid w:val="0"/>
                <w:color w:val="0000FF"/>
              </w:rPr>
            </w:pPr>
            <w:r>
              <w:rPr>
                <w:snapToGrid w:val="0"/>
                <w:color w:val="0000FF"/>
              </w:rPr>
              <w:t>--</w:t>
            </w:r>
          </w:p>
        </w:tc>
      </w:tr>
      <w:tr w:rsidR="00DB5DB6" w:rsidTr="00D917EC">
        <w:trPr>
          <w:jc w:val="center"/>
        </w:trPr>
        <w:tc>
          <w:tcPr>
            <w:tcW w:w="1270" w:type="dxa"/>
            <w:tcBorders>
              <w:top w:val="single" w:sz="6" w:space="0" w:color="auto"/>
              <w:left w:val="double" w:sz="6" w:space="0" w:color="auto"/>
            </w:tcBorders>
            <w:shd w:val="clear" w:color="auto" w:fill="auto"/>
          </w:tcPr>
          <w:p w:rsidR="00DB5DB6" w:rsidRDefault="00DB5DB6">
            <w:pPr>
              <w:keepNext/>
              <w:suppressAutoHyphens/>
              <w:jc w:val="center"/>
              <w:rPr>
                <w:spacing w:val="-3"/>
              </w:rPr>
            </w:pPr>
            <w:r>
              <w:rPr>
                <w:spacing w:val="-3"/>
              </w:rPr>
              <w:t>CO</w:t>
            </w:r>
          </w:p>
        </w:tc>
        <w:tc>
          <w:tcPr>
            <w:tcW w:w="1980" w:type="dxa"/>
            <w:tcBorders>
              <w:top w:val="single" w:sz="6" w:space="0" w:color="auto"/>
              <w:left w:val="single" w:sz="6" w:space="0" w:color="auto"/>
            </w:tcBorders>
            <w:shd w:val="clear" w:color="auto" w:fill="auto"/>
            <w:vAlign w:val="center"/>
          </w:tcPr>
          <w:p w:rsidR="00DB5DB6" w:rsidRDefault="00DB5DB6">
            <w:pPr>
              <w:keepNext/>
              <w:jc w:val="center"/>
              <w:rPr>
                <w:snapToGrid w:val="0"/>
                <w:color w:val="0000FF"/>
              </w:rPr>
            </w:pPr>
            <w:r>
              <w:rPr>
                <w:snapToGrid w:val="0"/>
                <w:color w:val="0000FF"/>
              </w:rPr>
              <w:t>--</w:t>
            </w:r>
          </w:p>
        </w:tc>
        <w:tc>
          <w:tcPr>
            <w:tcW w:w="2070" w:type="dxa"/>
            <w:tcBorders>
              <w:top w:val="single" w:sz="6" w:space="0" w:color="auto"/>
              <w:left w:val="single" w:sz="6" w:space="0" w:color="auto"/>
            </w:tcBorders>
            <w:shd w:val="clear" w:color="auto" w:fill="auto"/>
            <w:vAlign w:val="center"/>
          </w:tcPr>
          <w:p w:rsidR="00DB5DB6" w:rsidRDefault="00DB5DB6">
            <w:pPr>
              <w:keepNext/>
              <w:jc w:val="center"/>
              <w:rPr>
                <w:snapToGrid w:val="0"/>
                <w:color w:val="0000FF"/>
              </w:rPr>
            </w:pPr>
            <w:r>
              <w:rPr>
                <w:snapToGrid w:val="0"/>
                <w:color w:val="0000FF"/>
              </w:rPr>
              <w:t>--</w:t>
            </w:r>
          </w:p>
        </w:tc>
        <w:tc>
          <w:tcPr>
            <w:tcW w:w="2446" w:type="dxa"/>
            <w:tcBorders>
              <w:top w:val="single" w:sz="6" w:space="0" w:color="auto"/>
              <w:left w:val="single" w:sz="6" w:space="0" w:color="auto"/>
              <w:right w:val="double" w:sz="6" w:space="0" w:color="auto"/>
            </w:tcBorders>
            <w:shd w:val="clear" w:color="auto" w:fill="auto"/>
            <w:vAlign w:val="center"/>
          </w:tcPr>
          <w:p w:rsidR="00DB5DB6" w:rsidRDefault="00DB5DB6">
            <w:pPr>
              <w:keepNext/>
              <w:jc w:val="center"/>
              <w:rPr>
                <w:snapToGrid w:val="0"/>
                <w:color w:val="0000FF"/>
              </w:rPr>
            </w:pPr>
            <w:r>
              <w:rPr>
                <w:snapToGrid w:val="0"/>
                <w:color w:val="0000FF"/>
              </w:rPr>
              <w:t>--</w:t>
            </w:r>
          </w:p>
        </w:tc>
      </w:tr>
      <w:tr w:rsidR="00DB5DB6" w:rsidTr="00D917EC">
        <w:trPr>
          <w:jc w:val="center"/>
        </w:trPr>
        <w:tc>
          <w:tcPr>
            <w:tcW w:w="1270" w:type="dxa"/>
            <w:tcBorders>
              <w:top w:val="single" w:sz="6" w:space="0" w:color="auto"/>
              <w:left w:val="double" w:sz="6" w:space="0" w:color="auto"/>
              <w:bottom w:val="double" w:sz="6" w:space="0" w:color="auto"/>
            </w:tcBorders>
            <w:shd w:val="clear" w:color="auto" w:fill="auto"/>
          </w:tcPr>
          <w:p w:rsidR="00DB5DB6" w:rsidRDefault="00DB5DB6">
            <w:pPr>
              <w:keepNext/>
              <w:suppressAutoHyphens/>
              <w:jc w:val="center"/>
              <w:rPr>
                <w:spacing w:val="-3"/>
              </w:rPr>
            </w:pPr>
            <w:r>
              <w:rPr>
                <w:spacing w:val="-3"/>
              </w:rPr>
              <w:t>VOC</w:t>
            </w:r>
          </w:p>
        </w:tc>
        <w:tc>
          <w:tcPr>
            <w:tcW w:w="1980" w:type="dxa"/>
            <w:tcBorders>
              <w:top w:val="single" w:sz="6" w:space="0" w:color="auto"/>
              <w:left w:val="single" w:sz="6" w:space="0" w:color="auto"/>
              <w:bottom w:val="double" w:sz="6" w:space="0" w:color="auto"/>
            </w:tcBorders>
            <w:shd w:val="clear" w:color="auto" w:fill="auto"/>
            <w:vAlign w:val="center"/>
          </w:tcPr>
          <w:p w:rsidR="00DB5DB6" w:rsidRDefault="00DB5DB6">
            <w:pPr>
              <w:keepNext/>
              <w:jc w:val="center"/>
              <w:rPr>
                <w:snapToGrid w:val="0"/>
                <w:color w:val="0000FF"/>
              </w:rPr>
            </w:pPr>
            <w:r>
              <w:rPr>
                <w:snapToGrid w:val="0"/>
                <w:color w:val="0000FF"/>
              </w:rPr>
              <w:t>[  ]</w:t>
            </w:r>
          </w:p>
        </w:tc>
        <w:tc>
          <w:tcPr>
            <w:tcW w:w="2070" w:type="dxa"/>
            <w:tcBorders>
              <w:top w:val="single" w:sz="6" w:space="0" w:color="auto"/>
              <w:left w:val="single" w:sz="6" w:space="0" w:color="auto"/>
              <w:bottom w:val="double" w:sz="6" w:space="0" w:color="auto"/>
            </w:tcBorders>
            <w:shd w:val="clear" w:color="auto" w:fill="auto"/>
            <w:vAlign w:val="center"/>
          </w:tcPr>
          <w:p w:rsidR="00DB5DB6" w:rsidRDefault="00DB5DB6">
            <w:pPr>
              <w:keepNext/>
              <w:jc w:val="center"/>
              <w:rPr>
                <w:snapToGrid w:val="0"/>
                <w:color w:val="0000FF"/>
              </w:rPr>
            </w:pPr>
            <w:r>
              <w:rPr>
                <w:snapToGrid w:val="0"/>
                <w:color w:val="0000FF"/>
              </w:rPr>
              <w:t>[  ]</w:t>
            </w:r>
          </w:p>
        </w:tc>
        <w:tc>
          <w:tcPr>
            <w:tcW w:w="2446" w:type="dxa"/>
            <w:tcBorders>
              <w:top w:val="single" w:sz="6" w:space="0" w:color="auto"/>
              <w:left w:val="single" w:sz="6" w:space="0" w:color="auto"/>
              <w:bottom w:val="double" w:sz="6" w:space="0" w:color="auto"/>
              <w:right w:val="double" w:sz="6" w:space="0" w:color="auto"/>
            </w:tcBorders>
            <w:shd w:val="clear" w:color="auto" w:fill="auto"/>
            <w:vAlign w:val="center"/>
          </w:tcPr>
          <w:p w:rsidR="00DB5DB6" w:rsidRDefault="00DB5DB6">
            <w:pPr>
              <w:keepNext/>
              <w:jc w:val="center"/>
              <w:rPr>
                <w:snapToGrid w:val="0"/>
                <w:color w:val="0000FF"/>
              </w:rPr>
            </w:pPr>
            <w:r>
              <w:rPr>
                <w:snapToGrid w:val="0"/>
                <w:color w:val="0000FF"/>
              </w:rPr>
              <w:t>[  ]</w:t>
            </w:r>
          </w:p>
        </w:tc>
      </w:tr>
    </w:tbl>
    <w:p w:rsidR="00DB5DB6" w:rsidRDefault="00DB5DB6">
      <w:pPr>
        <w:suppressAutoHyphens/>
        <w:jc w:val="both"/>
        <w:rPr>
          <w:spacing w:val="-3"/>
        </w:rPr>
      </w:pPr>
    </w:p>
    <w:p w:rsidR="00DB5DB6" w:rsidRDefault="00DB5DB6">
      <w:pPr>
        <w:pStyle w:val="Heading3"/>
      </w:pPr>
      <w:r>
        <w:t xml:space="preserve">BACT Guidance </w:t>
      </w:r>
    </w:p>
    <w:p w:rsidR="00DB5DB6" w:rsidRDefault="00DB5DB6">
      <w:pPr>
        <w:suppressAutoHyphens/>
        <w:jc w:val="both"/>
        <w:rPr>
          <w:spacing w:val="-3"/>
        </w:rPr>
      </w:pPr>
    </w:p>
    <w:p w:rsidR="00DB5DB6" w:rsidRDefault="00DB5DB6">
      <w:pPr>
        <w:suppressAutoHyphens/>
        <w:ind w:left="720" w:hanging="720"/>
        <w:jc w:val="both"/>
        <w:rPr>
          <w:spacing w:val="-3"/>
        </w:rPr>
      </w:pPr>
      <w:r>
        <w:rPr>
          <w:spacing w:val="-3"/>
        </w:rPr>
        <w:tab/>
        <w:t>Per District Policy APR 1305, Section IX, “A top-down BACT analysis shall be performed as a part of the Application Review for each application subject to the BACT requirements pursuant to the District’s NSR Rule for source categories or classes covered in the BACT Clearinghouse, relevant information under each of the following steps may be simply cited from the Clearinghouse without further analysis."</w:t>
      </w:r>
    </w:p>
    <w:p w:rsidR="00DB5DB6" w:rsidRDefault="00DB5DB6">
      <w:pPr>
        <w:suppressAutoHyphens/>
        <w:jc w:val="both"/>
        <w:rPr>
          <w:spacing w:val="-3"/>
        </w:rPr>
      </w:pPr>
    </w:p>
    <w:p w:rsidR="00DB5DB6" w:rsidRDefault="00DB5DB6">
      <w:pPr>
        <w:suppressAutoHyphens/>
        <w:ind w:left="720"/>
        <w:jc w:val="both"/>
        <w:rPr>
          <w:spacing w:val="-3"/>
        </w:rPr>
      </w:pPr>
      <w:r>
        <w:rPr>
          <w:spacing w:val="-3"/>
        </w:rPr>
        <w:t xml:space="preserve">SJVUAPCD BACT Clearinghouse Guideline </w:t>
      </w:r>
      <w:r>
        <w:rPr>
          <w:color w:val="0000FF"/>
          <w:spacing w:val="-3"/>
        </w:rPr>
        <w:t>2.1.3</w:t>
      </w:r>
      <w:r>
        <w:rPr>
          <w:spacing w:val="-3"/>
        </w:rPr>
        <w:t xml:space="preserve"> specifies the achieved in practice or contained in SIP BACT and technologically feasible BACT for soil remediation operations utilizing a carbon adsorption system.  Therefore, relevant information will be cited without further analysis.</w:t>
      </w:r>
    </w:p>
    <w:p w:rsidR="00DB5DB6" w:rsidRDefault="00DB5DB6">
      <w:pPr>
        <w:suppressAutoHyphens/>
        <w:jc w:val="both"/>
        <w:rPr>
          <w:spacing w:val="-3"/>
        </w:rPr>
      </w:pPr>
    </w:p>
    <w:p w:rsidR="00DB5DB6" w:rsidRDefault="00DB5DB6">
      <w:pPr>
        <w:suppressAutoHyphens/>
        <w:ind w:firstLine="720"/>
        <w:jc w:val="both"/>
        <w:rPr>
          <w:color w:val="0000FF"/>
          <w:spacing w:val="-3"/>
        </w:rPr>
      </w:pPr>
      <w:r>
        <w:rPr>
          <w:i/>
          <w:iCs/>
          <w:color w:val="0000FF"/>
          <w:spacing w:val="-3"/>
        </w:rPr>
        <w:t>See Appendix A: BACT Clearinghouse Guideline 2.1.3</w:t>
      </w:r>
    </w:p>
    <w:p w:rsidR="00DB5DB6" w:rsidRDefault="00DB5DB6">
      <w:pPr>
        <w:suppressAutoHyphens/>
        <w:jc w:val="both"/>
        <w:rPr>
          <w:spacing w:val="-3"/>
        </w:rPr>
      </w:pPr>
    </w:p>
    <w:p w:rsidR="00DB5DB6" w:rsidRDefault="00DB5DB6">
      <w:pPr>
        <w:pStyle w:val="Heading3"/>
      </w:pPr>
      <w:r>
        <w:t>Top-Down BACT Analysis</w:t>
      </w:r>
    </w:p>
    <w:p w:rsidR="00DB5DB6" w:rsidRDefault="00DB5DB6">
      <w:pPr>
        <w:suppressAutoHyphens/>
        <w:jc w:val="both"/>
        <w:rPr>
          <w:spacing w:val="-3"/>
        </w:rPr>
      </w:pPr>
    </w:p>
    <w:p w:rsidR="00DB5DB6" w:rsidRDefault="00DB5DB6">
      <w:pPr>
        <w:suppressAutoHyphens/>
        <w:ind w:left="810" w:hanging="720"/>
        <w:jc w:val="both"/>
        <w:rPr>
          <w:spacing w:val="-3"/>
        </w:rPr>
      </w:pPr>
      <w:r>
        <w:rPr>
          <w:spacing w:val="-3"/>
        </w:rPr>
        <w:tab/>
        <w:t xml:space="preserve">The applicant is proposing to use a </w:t>
      </w:r>
      <w:r>
        <w:rPr>
          <w:color w:val="0000FF"/>
          <w:spacing w:val="-3"/>
        </w:rPr>
        <w:t>carbon adsorption system with 95% or greater control efficiency</w:t>
      </w:r>
      <w:r>
        <w:rPr>
          <w:spacing w:val="-3"/>
        </w:rPr>
        <w:t xml:space="preserve">.  Per the Top-Down analysis in </w:t>
      </w:r>
      <w:r>
        <w:rPr>
          <w:color w:val="0000FF"/>
          <w:spacing w:val="-3"/>
        </w:rPr>
        <w:t>Appendix I</w:t>
      </w:r>
      <w:r>
        <w:rPr>
          <w:color w:val="FF0000"/>
          <w:spacing w:val="-3"/>
        </w:rPr>
        <w:t xml:space="preserve"> </w:t>
      </w:r>
      <w:r>
        <w:rPr>
          <w:spacing w:val="-3"/>
        </w:rPr>
        <w:t xml:space="preserve">of this evaluation, this proposed equipment is the achieved in practice BACT and there is not a more effective technologically feasible control.  Therefore, the proposed equipment satisfies the BACT requirement. </w:t>
      </w:r>
    </w:p>
    <w:p w:rsidR="00DB5DB6" w:rsidRDefault="00DB5DB6">
      <w:pPr>
        <w:suppressAutoHyphens/>
        <w:jc w:val="both"/>
        <w:rPr>
          <w:spacing w:val="-3"/>
        </w:rPr>
      </w:pPr>
    </w:p>
    <w:p w:rsidR="00DB5DB6" w:rsidRDefault="00DB5DB6">
      <w:pPr>
        <w:pStyle w:val="Heading2"/>
      </w:pPr>
      <w:r>
        <w:t>Offsets</w:t>
      </w:r>
    </w:p>
    <w:p w:rsidR="00DB5DB6" w:rsidRDefault="00DB5DB6">
      <w:pPr>
        <w:tabs>
          <w:tab w:val="left" w:pos="-720"/>
          <w:tab w:val="left" w:pos="0"/>
          <w:tab w:val="left" w:pos="720"/>
        </w:tabs>
        <w:suppressAutoHyphens/>
        <w:jc w:val="both"/>
        <w:rPr>
          <w:spacing w:val="-3"/>
        </w:rPr>
      </w:pPr>
    </w:p>
    <w:p w:rsidR="00DB5DB6" w:rsidRDefault="00DB5DB6">
      <w:pPr>
        <w:pStyle w:val="Heading3"/>
      </w:pPr>
      <w:r>
        <w:t>Offset Applicability</w:t>
      </w:r>
    </w:p>
    <w:p w:rsidR="00DB5DB6" w:rsidRDefault="00DB5DB6">
      <w:pPr>
        <w:suppressAutoHyphens/>
        <w:ind w:left="720"/>
        <w:jc w:val="both"/>
        <w:rPr>
          <w:spacing w:val="-3"/>
        </w:rPr>
      </w:pPr>
    </w:p>
    <w:p w:rsidR="00DB5DB6" w:rsidRDefault="00DB5DB6">
      <w:pPr>
        <w:suppressAutoHyphens/>
        <w:ind w:left="720"/>
        <w:rPr>
          <w:spacing w:val="-3"/>
        </w:rPr>
      </w:pPr>
      <w:r>
        <w:t xml:space="preserve">Pursuant to Section 4.5.3, offset requirements shall be triggered on a pollutant by pollutant basis and shall be required if the Post Project Stationary Source Potential to Emit (SSPE2) equals to or exceeds </w:t>
      </w:r>
      <w:r>
        <w:rPr>
          <w:spacing w:val="-3"/>
        </w:rPr>
        <w:t>the offset threshold levels in Table 4-1 of Rule 2201.</w:t>
      </w:r>
    </w:p>
    <w:p w:rsidR="00DB5DB6" w:rsidRDefault="00DB5DB6">
      <w:pPr>
        <w:suppressAutoHyphens/>
        <w:ind w:left="720"/>
        <w:rPr>
          <w:spacing w:val="-3"/>
        </w:rPr>
      </w:pPr>
    </w:p>
    <w:p w:rsidR="00DB5DB6" w:rsidRDefault="00DB5DB6">
      <w:pPr>
        <w:ind w:left="720"/>
      </w:pPr>
      <w:r>
        <w:lastRenderedPageBreak/>
        <w:t>The following table compares the post-project facility-wide annual emissions in order to determine if offsets will be required for this project.</w:t>
      </w:r>
    </w:p>
    <w:p w:rsidR="00DB5DB6" w:rsidRDefault="00DB5DB6">
      <w:pPr>
        <w:ind w:left="720"/>
        <w:rPr>
          <w:color w:val="000000"/>
        </w:rPr>
      </w:pP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278"/>
        <w:gridCol w:w="1278"/>
        <w:gridCol w:w="1278"/>
        <w:gridCol w:w="1278"/>
        <w:gridCol w:w="1278"/>
      </w:tblGrid>
      <w:tr w:rsidR="00DB5DB6" w:rsidTr="00D917EC">
        <w:trPr>
          <w:cantSplit/>
          <w:trHeight w:val="300"/>
        </w:trPr>
        <w:tc>
          <w:tcPr>
            <w:tcW w:w="9180" w:type="dxa"/>
            <w:gridSpan w:val="6"/>
            <w:tcBorders>
              <w:top w:val="double" w:sz="4" w:space="0" w:color="auto"/>
              <w:left w:val="double" w:sz="4" w:space="0" w:color="auto"/>
              <w:bottom w:val="nil"/>
              <w:right w:val="double" w:sz="4" w:space="0" w:color="auto"/>
            </w:tcBorders>
            <w:shd w:val="clear" w:color="auto" w:fill="auto"/>
            <w:vAlign w:val="center"/>
          </w:tcPr>
          <w:p w:rsidR="00DB5DB6" w:rsidRDefault="00DB5DB6">
            <w:pPr>
              <w:keepNext/>
              <w:suppressAutoHyphens/>
              <w:jc w:val="center"/>
              <w:rPr>
                <w:b/>
              </w:rPr>
            </w:pPr>
            <w:r>
              <w:rPr>
                <w:b/>
              </w:rPr>
              <w:t>Offset Determination (lb/year)</w:t>
            </w:r>
          </w:p>
        </w:tc>
      </w:tr>
      <w:tr w:rsidR="00DB5DB6" w:rsidTr="00D917EC">
        <w:trPr>
          <w:trHeight w:val="220"/>
        </w:trPr>
        <w:tc>
          <w:tcPr>
            <w:tcW w:w="2790" w:type="dxa"/>
            <w:tcBorders>
              <w:top w:val="double" w:sz="4" w:space="0" w:color="auto"/>
              <w:left w:val="double" w:sz="4" w:space="0" w:color="auto"/>
              <w:bottom w:val="single" w:sz="12" w:space="0" w:color="auto"/>
            </w:tcBorders>
            <w:shd w:val="clear" w:color="auto" w:fill="auto"/>
            <w:vAlign w:val="center"/>
          </w:tcPr>
          <w:p w:rsidR="00DB5DB6" w:rsidRDefault="00DB5DB6">
            <w:pPr>
              <w:keepNext/>
              <w:suppressAutoHyphens/>
              <w:jc w:val="center"/>
            </w:pPr>
          </w:p>
        </w:tc>
        <w:tc>
          <w:tcPr>
            <w:tcW w:w="1278" w:type="dxa"/>
            <w:tcBorders>
              <w:top w:val="double" w:sz="4" w:space="0" w:color="auto"/>
              <w:bottom w:val="single" w:sz="12" w:space="0" w:color="auto"/>
            </w:tcBorders>
            <w:shd w:val="clear" w:color="auto" w:fill="auto"/>
            <w:vAlign w:val="center"/>
          </w:tcPr>
          <w:p w:rsidR="00DB5DB6" w:rsidRDefault="00DB5DB6">
            <w:pPr>
              <w:keepNext/>
              <w:suppressAutoHyphens/>
              <w:jc w:val="center"/>
            </w:pPr>
            <w:r>
              <w:t>NO</w:t>
            </w:r>
            <w:r>
              <w:rPr>
                <w:vertAlign w:val="subscript"/>
              </w:rPr>
              <w:t>X</w:t>
            </w:r>
          </w:p>
        </w:tc>
        <w:tc>
          <w:tcPr>
            <w:tcW w:w="1278" w:type="dxa"/>
            <w:tcBorders>
              <w:top w:val="double" w:sz="4" w:space="0" w:color="auto"/>
              <w:bottom w:val="single" w:sz="12" w:space="0" w:color="auto"/>
            </w:tcBorders>
            <w:shd w:val="clear" w:color="auto" w:fill="auto"/>
            <w:vAlign w:val="center"/>
          </w:tcPr>
          <w:p w:rsidR="00DB5DB6" w:rsidRDefault="00DB5DB6">
            <w:pPr>
              <w:keepNext/>
              <w:suppressAutoHyphens/>
              <w:jc w:val="center"/>
            </w:pPr>
            <w:r>
              <w:t>SO</w:t>
            </w:r>
            <w:r>
              <w:rPr>
                <w:vertAlign w:val="subscript"/>
              </w:rPr>
              <w:t>X</w:t>
            </w:r>
          </w:p>
        </w:tc>
        <w:tc>
          <w:tcPr>
            <w:tcW w:w="1278" w:type="dxa"/>
            <w:tcBorders>
              <w:top w:val="double" w:sz="4" w:space="0" w:color="auto"/>
              <w:bottom w:val="single" w:sz="12" w:space="0" w:color="auto"/>
            </w:tcBorders>
            <w:shd w:val="clear" w:color="auto" w:fill="auto"/>
            <w:vAlign w:val="center"/>
          </w:tcPr>
          <w:p w:rsidR="00DB5DB6" w:rsidRDefault="00DB5DB6">
            <w:pPr>
              <w:keepNext/>
              <w:suppressAutoHyphens/>
              <w:jc w:val="center"/>
            </w:pPr>
            <w:r>
              <w:t>PM</w:t>
            </w:r>
            <w:r>
              <w:rPr>
                <w:vertAlign w:val="subscript"/>
              </w:rPr>
              <w:t>10</w:t>
            </w:r>
          </w:p>
        </w:tc>
        <w:tc>
          <w:tcPr>
            <w:tcW w:w="1278" w:type="dxa"/>
            <w:tcBorders>
              <w:top w:val="double" w:sz="4" w:space="0" w:color="auto"/>
              <w:bottom w:val="single" w:sz="12" w:space="0" w:color="auto"/>
              <w:right w:val="single" w:sz="4" w:space="0" w:color="auto"/>
            </w:tcBorders>
            <w:shd w:val="clear" w:color="auto" w:fill="auto"/>
            <w:vAlign w:val="center"/>
          </w:tcPr>
          <w:p w:rsidR="00DB5DB6" w:rsidRDefault="00DB5DB6">
            <w:pPr>
              <w:keepNext/>
              <w:suppressAutoHyphens/>
              <w:jc w:val="center"/>
            </w:pPr>
            <w:r>
              <w:t>CO</w:t>
            </w:r>
          </w:p>
        </w:tc>
        <w:tc>
          <w:tcPr>
            <w:tcW w:w="1278" w:type="dxa"/>
            <w:tcBorders>
              <w:top w:val="double" w:sz="4" w:space="0" w:color="auto"/>
              <w:left w:val="single" w:sz="4" w:space="0" w:color="auto"/>
              <w:bottom w:val="single" w:sz="12" w:space="0" w:color="auto"/>
              <w:right w:val="double" w:sz="4" w:space="0" w:color="auto"/>
            </w:tcBorders>
            <w:shd w:val="clear" w:color="auto" w:fill="auto"/>
            <w:vAlign w:val="center"/>
          </w:tcPr>
          <w:p w:rsidR="00DB5DB6" w:rsidRDefault="00DB5DB6">
            <w:pPr>
              <w:keepNext/>
              <w:suppressAutoHyphens/>
              <w:jc w:val="center"/>
            </w:pPr>
            <w:r>
              <w:t>VOC</w:t>
            </w:r>
          </w:p>
        </w:tc>
      </w:tr>
      <w:tr w:rsidR="00DB5DB6">
        <w:tc>
          <w:tcPr>
            <w:tcW w:w="2790" w:type="dxa"/>
            <w:tcBorders>
              <w:top w:val="single" w:sz="12" w:space="0" w:color="auto"/>
              <w:left w:val="double" w:sz="4" w:space="0" w:color="auto"/>
            </w:tcBorders>
            <w:vAlign w:val="center"/>
          </w:tcPr>
          <w:p w:rsidR="00DB5DB6" w:rsidRDefault="00DB5DB6">
            <w:pPr>
              <w:keepNext/>
              <w:suppressAutoHyphens/>
            </w:pPr>
            <w:r>
              <w:rPr>
                <w:snapToGrid w:val="0"/>
                <w:color w:val="000000"/>
              </w:rPr>
              <w:t xml:space="preserve">Post Project </w:t>
            </w:r>
            <w:r>
              <w:t>SSPE (SSPE2)</w:t>
            </w:r>
          </w:p>
        </w:tc>
        <w:tc>
          <w:tcPr>
            <w:tcW w:w="1278" w:type="dxa"/>
            <w:tcBorders>
              <w:top w:val="single" w:sz="12" w:space="0" w:color="auto"/>
            </w:tcBorders>
            <w:vAlign w:val="center"/>
          </w:tcPr>
          <w:p w:rsidR="00DB5DB6" w:rsidRDefault="00DB5DB6">
            <w:pPr>
              <w:keepNext/>
              <w:jc w:val="center"/>
            </w:pPr>
            <w:r>
              <w:t>- -</w:t>
            </w:r>
          </w:p>
        </w:tc>
        <w:tc>
          <w:tcPr>
            <w:tcW w:w="1278" w:type="dxa"/>
            <w:tcBorders>
              <w:top w:val="single" w:sz="12" w:space="0" w:color="auto"/>
            </w:tcBorders>
            <w:vAlign w:val="center"/>
          </w:tcPr>
          <w:p w:rsidR="00DB5DB6" w:rsidRDefault="00DB5DB6">
            <w:pPr>
              <w:keepNext/>
              <w:jc w:val="center"/>
              <w:rPr>
                <w:spacing w:val="-3"/>
              </w:rPr>
            </w:pPr>
            <w:r>
              <w:rPr>
                <w:spacing w:val="-3"/>
              </w:rPr>
              <w:t>- -</w:t>
            </w:r>
          </w:p>
        </w:tc>
        <w:tc>
          <w:tcPr>
            <w:tcW w:w="1278" w:type="dxa"/>
            <w:tcBorders>
              <w:top w:val="single" w:sz="12" w:space="0" w:color="auto"/>
            </w:tcBorders>
            <w:vAlign w:val="center"/>
          </w:tcPr>
          <w:p w:rsidR="00DB5DB6" w:rsidRDefault="00DB5DB6">
            <w:pPr>
              <w:keepNext/>
              <w:jc w:val="center"/>
            </w:pPr>
            <w:r>
              <w:t>- -</w:t>
            </w:r>
          </w:p>
        </w:tc>
        <w:tc>
          <w:tcPr>
            <w:tcW w:w="1278" w:type="dxa"/>
            <w:tcBorders>
              <w:top w:val="single" w:sz="12" w:space="0" w:color="auto"/>
              <w:right w:val="single" w:sz="4" w:space="0" w:color="auto"/>
            </w:tcBorders>
            <w:vAlign w:val="center"/>
          </w:tcPr>
          <w:p w:rsidR="00DB5DB6" w:rsidRDefault="00DB5DB6">
            <w:pPr>
              <w:keepNext/>
              <w:jc w:val="center"/>
            </w:pPr>
            <w:r>
              <w:t>- -</w:t>
            </w:r>
          </w:p>
        </w:tc>
        <w:tc>
          <w:tcPr>
            <w:tcW w:w="1278" w:type="dxa"/>
            <w:tcBorders>
              <w:top w:val="single" w:sz="12" w:space="0" w:color="auto"/>
              <w:left w:val="single" w:sz="4" w:space="0" w:color="auto"/>
              <w:right w:val="double" w:sz="4" w:space="0" w:color="auto"/>
            </w:tcBorders>
            <w:vAlign w:val="center"/>
          </w:tcPr>
          <w:p w:rsidR="00DB5DB6" w:rsidRDefault="00DB5DB6">
            <w:pPr>
              <w:keepNext/>
              <w:jc w:val="center"/>
            </w:pPr>
            <w:r>
              <w:t>- -</w:t>
            </w:r>
          </w:p>
        </w:tc>
      </w:tr>
      <w:tr w:rsidR="00DB5DB6">
        <w:tc>
          <w:tcPr>
            <w:tcW w:w="2790" w:type="dxa"/>
            <w:tcBorders>
              <w:left w:val="double" w:sz="4" w:space="0" w:color="auto"/>
              <w:bottom w:val="nil"/>
            </w:tcBorders>
            <w:vAlign w:val="center"/>
          </w:tcPr>
          <w:p w:rsidR="00DB5DB6" w:rsidRDefault="00DB5DB6">
            <w:pPr>
              <w:keepNext/>
              <w:suppressAutoHyphens/>
            </w:pPr>
            <w:r>
              <w:t>Offset Threshold</w:t>
            </w:r>
          </w:p>
        </w:tc>
        <w:tc>
          <w:tcPr>
            <w:tcW w:w="1278" w:type="dxa"/>
            <w:tcBorders>
              <w:bottom w:val="nil"/>
            </w:tcBorders>
          </w:tcPr>
          <w:p w:rsidR="00DB5DB6" w:rsidRDefault="00DB5DB6">
            <w:pPr>
              <w:keepNext/>
              <w:suppressAutoHyphens/>
              <w:jc w:val="center"/>
            </w:pPr>
            <w:r>
              <w:t>20,000</w:t>
            </w:r>
          </w:p>
        </w:tc>
        <w:tc>
          <w:tcPr>
            <w:tcW w:w="1278" w:type="dxa"/>
            <w:tcBorders>
              <w:bottom w:val="nil"/>
            </w:tcBorders>
          </w:tcPr>
          <w:p w:rsidR="00DB5DB6" w:rsidRDefault="00DB5DB6">
            <w:pPr>
              <w:keepNext/>
              <w:suppressAutoHyphens/>
              <w:jc w:val="center"/>
            </w:pPr>
            <w:r>
              <w:t>54,750</w:t>
            </w:r>
          </w:p>
        </w:tc>
        <w:tc>
          <w:tcPr>
            <w:tcW w:w="1278" w:type="dxa"/>
            <w:tcBorders>
              <w:bottom w:val="nil"/>
            </w:tcBorders>
          </w:tcPr>
          <w:p w:rsidR="00DB5DB6" w:rsidRDefault="00DB5DB6">
            <w:pPr>
              <w:keepNext/>
              <w:suppressAutoHyphens/>
              <w:jc w:val="center"/>
            </w:pPr>
            <w:r>
              <w:t>29,200</w:t>
            </w:r>
          </w:p>
        </w:tc>
        <w:tc>
          <w:tcPr>
            <w:tcW w:w="1278" w:type="dxa"/>
            <w:tcBorders>
              <w:bottom w:val="nil"/>
              <w:right w:val="single" w:sz="4" w:space="0" w:color="auto"/>
            </w:tcBorders>
          </w:tcPr>
          <w:p w:rsidR="00DB5DB6" w:rsidRDefault="00DB5DB6">
            <w:pPr>
              <w:keepNext/>
              <w:suppressAutoHyphens/>
              <w:jc w:val="center"/>
            </w:pPr>
            <w:r>
              <w:t>200,000</w:t>
            </w:r>
          </w:p>
        </w:tc>
        <w:tc>
          <w:tcPr>
            <w:tcW w:w="1278" w:type="dxa"/>
            <w:tcBorders>
              <w:left w:val="single" w:sz="4" w:space="0" w:color="auto"/>
              <w:bottom w:val="nil"/>
              <w:right w:val="double" w:sz="4" w:space="0" w:color="auto"/>
            </w:tcBorders>
          </w:tcPr>
          <w:p w:rsidR="00DB5DB6" w:rsidRDefault="00DB5DB6">
            <w:pPr>
              <w:keepNext/>
              <w:suppressAutoHyphens/>
              <w:jc w:val="center"/>
            </w:pPr>
            <w:r>
              <w:t>20,000</w:t>
            </w:r>
          </w:p>
        </w:tc>
      </w:tr>
      <w:tr w:rsidR="00DB5DB6">
        <w:tc>
          <w:tcPr>
            <w:tcW w:w="2790" w:type="dxa"/>
            <w:tcBorders>
              <w:top w:val="single" w:sz="18" w:space="0" w:color="auto"/>
              <w:left w:val="double" w:sz="4" w:space="0" w:color="auto"/>
              <w:bottom w:val="double" w:sz="4" w:space="0" w:color="auto"/>
            </w:tcBorders>
            <w:vAlign w:val="center"/>
          </w:tcPr>
          <w:p w:rsidR="00DB5DB6" w:rsidRDefault="00DB5DB6">
            <w:pPr>
              <w:keepNext/>
              <w:suppressAutoHyphens/>
            </w:pPr>
            <w:r>
              <w:t>Offsets triggered?</w:t>
            </w:r>
          </w:p>
        </w:tc>
        <w:tc>
          <w:tcPr>
            <w:tcW w:w="1278" w:type="dxa"/>
            <w:tcBorders>
              <w:top w:val="single" w:sz="18" w:space="0" w:color="auto"/>
              <w:bottom w:val="double" w:sz="4" w:space="0" w:color="auto"/>
            </w:tcBorders>
            <w:vAlign w:val="center"/>
          </w:tcPr>
          <w:p w:rsidR="00DB5DB6" w:rsidRDefault="00DB5DB6">
            <w:pPr>
              <w:keepNext/>
              <w:suppressAutoHyphens/>
              <w:jc w:val="center"/>
            </w:pPr>
            <w:r>
              <w:t>No</w:t>
            </w:r>
          </w:p>
        </w:tc>
        <w:tc>
          <w:tcPr>
            <w:tcW w:w="1278" w:type="dxa"/>
            <w:tcBorders>
              <w:top w:val="single" w:sz="18" w:space="0" w:color="auto"/>
              <w:bottom w:val="double" w:sz="4" w:space="0" w:color="auto"/>
            </w:tcBorders>
            <w:vAlign w:val="center"/>
          </w:tcPr>
          <w:p w:rsidR="00DB5DB6" w:rsidRDefault="00DB5DB6">
            <w:pPr>
              <w:keepNext/>
              <w:suppressAutoHyphens/>
              <w:jc w:val="center"/>
            </w:pPr>
            <w:r>
              <w:t>No</w:t>
            </w:r>
          </w:p>
        </w:tc>
        <w:tc>
          <w:tcPr>
            <w:tcW w:w="1278" w:type="dxa"/>
            <w:tcBorders>
              <w:top w:val="single" w:sz="18" w:space="0" w:color="auto"/>
              <w:bottom w:val="double" w:sz="4" w:space="0" w:color="auto"/>
            </w:tcBorders>
            <w:vAlign w:val="center"/>
          </w:tcPr>
          <w:p w:rsidR="00DB5DB6" w:rsidRDefault="00DB5DB6">
            <w:pPr>
              <w:keepNext/>
              <w:suppressAutoHyphens/>
              <w:jc w:val="center"/>
            </w:pPr>
            <w:r>
              <w:t>No</w:t>
            </w:r>
          </w:p>
        </w:tc>
        <w:tc>
          <w:tcPr>
            <w:tcW w:w="1278" w:type="dxa"/>
            <w:tcBorders>
              <w:top w:val="single" w:sz="18" w:space="0" w:color="auto"/>
              <w:bottom w:val="double" w:sz="4" w:space="0" w:color="auto"/>
              <w:right w:val="single" w:sz="4" w:space="0" w:color="auto"/>
            </w:tcBorders>
            <w:vAlign w:val="center"/>
          </w:tcPr>
          <w:p w:rsidR="00DB5DB6" w:rsidRDefault="00DB5DB6">
            <w:pPr>
              <w:keepNext/>
              <w:suppressAutoHyphens/>
              <w:jc w:val="center"/>
            </w:pPr>
            <w:r>
              <w:t>No</w:t>
            </w:r>
          </w:p>
        </w:tc>
        <w:tc>
          <w:tcPr>
            <w:tcW w:w="1278" w:type="dxa"/>
            <w:tcBorders>
              <w:top w:val="single" w:sz="18" w:space="0" w:color="auto"/>
              <w:left w:val="single" w:sz="4" w:space="0" w:color="auto"/>
              <w:bottom w:val="double" w:sz="4" w:space="0" w:color="auto"/>
              <w:right w:val="double" w:sz="4" w:space="0" w:color="auto"/>
            </w:tcBorders>
            <w:vAlign w:val="center"/>
          </w:tcPr>
          <w:p w:rsidR="00DB5DB6" w:rsidRDefault="00DB5DB6">
            <w:pPr>
              <w:keepNext/>
              <w:suppressAutoHyphens/>
              <w:jc w:val="center"/>
            </w:pPr>
            <w:r>
              <w:t>No</w:t>
            </w:r>
          </w:p>
        </w:tc>
      </w:tr>
    </w:tbl>
    <w:p w:rsidR="00DB5DB6" w:rsidRDefault="00DB5DB6">
      <w:pPr>
        <w:tabs>
          <w:tab w:val="left" w:pos="1890"/>
        </w:tabs>
        <w:ind w:left="1260" w:hanging="450"/>
        <w:rPr>
          <w:b/>
        </w:rPr>
      </w:pPr>
    </w:p>
    <w:p w:rsidR="00DB5DB6" w:rsidRDefault="00DB5DB6">
      <w:pPr>
        <w:pStyle w:val="Heading3"/>
      </w:pPr>
      <w:r>
        <w:t>Quantity of Offsets Required</w:t>
      </w:r>
    </w:p>
    <w:p w:rsidR="00DB5DB6" w:rsidRDefault="00DB5DB6">
      <w:pPr>
        <w:ind w:left="1350"/>
      </w:pPr>
    </w:p>
    <w:p w:rsidR="00DB5DB6" w:rsidRDefault="00DB5DB6">
      <w:pPr>
        <w:ind w:left="810"/>
      </w:pPr>
      <w:r>
        <w:t>As shown in the table above, the SSPE2 is not greater than or equal to the offset threshold levels for any criteria pollutant.  Therefore, offsets will not be required.</w:t>
      </w:r>
    </w:p>
    <w:p w:rsidR="00DB5DB6" w:rsidRDefault="00DB5DB6">
      <w:pPr>
        <w:suppressAutoHyphens/>
        <w:jc w:val="both"/>
        <w:rPr>
          <w:i/>
          <w:iCs/>
          <w:color w:val="FF0000"/>
          <w:spacing w:val="-3"/>
        </w:rPr>
      </w:pPr>
      <w:r>
        <w:rPr>
          <w:i/>
          <w:iCs/>
          <w:color w:val="FF0000"/>
          <w:spacing w:val="-3"/>
        </w:rPr>
        <w:t>OR</w:t>
      </w:r>
    </w:p>
    <w:p w:rsidR="00DB5DB6" w:rsidRDefault="00DB5DB6">
      <w:pPr>
        <w:suppressAutoHyphens/>
        <w:ind w:left="810"/>
        <w:jc w:val="both"/>
        <w:rPr>
          <w:i/>
          <w:iCs/>
          <w:color w:val="FF0000"/>
        </w:rPr>
      </w:pPr>
      <w:r>
        <w:t>As shown in the table above, the SSPE2 meets or exceeds the offset threshold levels.  Therefore, offsets will be required.</w:t>
      </w:r>
      <w:r>
        <w:rPr>
          <w:i/>
          <w:iCs/>
          <w:color w:val="0000FF"/>
        </w:rPr>
        <w:t xml:space="preserve"> </w:t>
      </w:r>
      <w:r>
        <w:rPr>
          <w:i/>
          <w:iCs/>
          <w:color w:val="FF0000"/>
        </w:rPr>
        <w:t>(If this is true, this project is NO LONGER A GEAR. Check with your supervisor before further processing.)</w:t>
      </w:r>
    </w:p>
    <w:p w:rsidR="00DB5DB6" w:rsidRDefault="00DB5DB6">
      <w:pPr>
        <w:suppressAutoHyphens/>
        <w:jc w:val="both"/>
        <w:rPr>
          <w:spacing w:val="-3"/>
        </w:rPr>
      </w:pPr>
    </w:p>
    <w:p w:rsidR="00DB5DB6" w:rsidRDefault="00DB5DB6">
      <w:pPr>
        <w:pStyle w:val="Heading2"/>
      </w:pPr>
      <w:r>
        <w:t>Public Notification</w:t>
      </w:r>
    </w:p>
    <w:p w:rsidR="00DB5DB6" w:rsidRDefault="00DB5DB6">
      <w:pPr>
        <w:suppressAutoHyphens/>
      </w:pPr>
    </w:p>
    <w:p w:rsidR="00DB5DB6" w:rsidRDefault="00DB5DB6">
      <w:pPr>
        <w:pStyle w:val="Heading3"/>
      </w:pPr>
      <w:r>
        <w:t>Applicability</w:t>
      </w:r>
    </w:p>
    <w:p w:rsidR="00DB5DB6" w:rsidRDefault="00DB5DB6">
      <w:pPr>
        <w:suppressAutoHyphens/>
      </w:pPr>
    </w:p>
    <w:p w:rsidR="00DB5DB6" w:rsidRDefault="00DB5DB6">
      <w:pPr>
        <w:tabs>
          <w:tab w:val="left" w:pos="1080"/>
        </w:tabs>
        <w:ind w:left="900"/>
        <w:rPr>
          <w:color w:val="000000"/>
        </w:rPr>
      </w:pPr>
      <w:r>
        <w:rPr>
          <w:color w:val="000000"/>
        </w:rPr>
        <w:t>Public noticing is required for:</w:t>
      </w:r>
    </w:p>
    <w:p w:rsidR="00DB5DB6" w:rsidRDefault="00DB5DB6">
      <w:pPr>
        <w:tabs>
          <w:tab w:val="left" w:pos="1080"/>
        </w:tabs>
        <w:ind w:left="900"/>
        <w:rPr>
          <w:color w:val="000000"/>
        </w:rPr>
      </w:pPr>
    </w:p>
    <w:p w:rsidR="00DB5DB6" w:rsidRDefault="00DB5DB6">
      <w:pPr>
        <w:numPr>
          <w:ilvl w:val="0"/>
          <w:numId w:val="3"/>
        </w:numPr>
        <w:tabs>
          <w:tab w:val="left" w:pos="810"/>
          <w:tab w:val="left" w:pos="1080"/>
        </w:tabs>
        <w:rPr>
          <w:color w:val="000000"/>
        </w:rPr>
      </w:pPr>
      <w:r>
        <w:rPr>
          <w:color w:val="000000"/>
        </w:rPr>
        <w:t>Any new Major Source, which is a new facility that is also a Major Source,</w:t>
      </w:r>
    </w:p>
    <w:p w:rsidR="00DB5DB6" w:rsidRDefault="006E416D">
      <w:pPr>
        <w:numPr>
          <w:ilvl w:val="0"/>
          <w:numId w:val="3"/>
        </w:numPr>
        <w:tabs>
          <w:tab w:val="left" w:pos="810"/>
          <w:tab w:val="left" w:pos="1080"/>
        </w:tabs>
        <w:rPr>
          <w:color w:val="000000"/>
        </w:rPr>
      </w:pPr>
      <w:r>
        <w:rPr>
          <w:color w:val="000000"/>
        </w:rPr>
        <w:t xml:space="preserve">SB 288 </w:t>
      </w:r>
      <w:r w:rsidR="00DB5DB6">
        <w:rPr>
          <w:color w:val="000000"/>
        </w:rPr>
        <w:t>Major Modifications</w:t>
      </w:r>
      <w:r>
        <w:rPr>
          <w:color w:val="000000"/>
        </w:rPr>
        <w:t xml:space="preserve"> or Federal Major Modifications</w:t>
      </w:r>
      <w:r w:rsidR="00DB5DB6">
        <w:rPr>
          <w:color w:val="000000"/>
        </w:rPr>
        <w:t>,</w:t>
      </w:r>
    </w:p>
    <w:p w:rsidR="00DB5DB6" w:rsidRDefault="00DB5DB6">
      <w:pPr>
        <w:numPr>
          <w:ilvl w:val="0"/>
          <w:numId w:val="3"/>
        </w:numPr>
        <w:tabs>
          <w:tab w:val="left" w:pos="1080"/>
        </w:tabs>
        <w:rPr>
          <w:color w:val="000000"/>
        </w:rPr>
      </w:pPr>
      <w:r>
        <w:rPr>
          <w:color w:val="000000"/>
        </w:rPr>
        <w:t>Any new emissions unit with a Potential to Emit greater than 100 pounds during any one day for any one pollutant,</w:t>
      </w:r>
    </w:p>
    <w:p w:rsidR="00DB5DB6" w:rsidRDefault="00DB5DB6">
      <w:pPr>
        <w:numPr>
          <w:ilvl w:val="0"/>
          <w:numId w:val="3"/>
        </w:numPr>
        <w:tabs>
          <w:tab w:val="left" w:pos="1080"/>
        </w:tabs>
        <w:rPr>
          <w:color w:val="000000"/>
        </w:rPr>
      </w:pPr>
      <w:r>
        <w:rPr>
          <w:color w:val="000000"/>
        </w:rPr>
        <w:t>Any project which results in the offset thresholds being surpassed, and/or</w:t>
      </w:r>
    </w:p>
    <w:p w:rsidR="00DB5DB6" w:rsidRDefault="00DB5DB6">
      <w:pPr>
        <w:numPr>
          <w:ilvl w:val="0"/>
          <w:numId w:val="3"/>
        </w:numPr>
        <w:tabs>
          <w:tab w:val="left" w:pos="1800"/>
        </w:tabs>
        <w:suppressAutoHyphens/>
      </w:pPr>
      <w:r>
        <w:rPr>
          <w:color w:val="000000"/>
        </w:rPr>
        <w:t>Any project with an SSIPE of greater than 20,000 lb/year for any pollutant.</w:t>
      </w:r>
    </w:p>
    <w:p w:rsidR="00DB5DB6" w:rsidRDefault="00DB5DB6">
      <w:pPr>
        <w:suppressAutoHyphens/>
      </w:pPr>
    </w:p>
    <w:p w:rsidR="00DB5DB6" w:rsidRDefault="00DB5DB6">
      <w:pPr>
        <w:pStyle w:val="Heading4"/>
      </w:pPr>
      <w:r>
        <w:t>New Major Source</w:t>
      </w:r>
    </w:p>
    <w:p w:rsidR="00DB5DB6" w:rsidRDefault="00DB5DB6">
      <w:pPr>
        <w:ind w:left="1440"/>
        <w:rPr>
          <w:color w:val="800000"/>
        </w:rPr>
      </w:pPr>
    </w:p>
    <w:p w:rsidR="00DB5DB6" w:rsidRDefault="00DB5DB6">
      <w:pPr>
        <w:tabs>
          <w:tab w:val="left" w:pos="2610"/>
        </w:tabs>
        <w:autoSpaceDE w:val="0"/>
        <w:autoSpaceDN w:val="0"/>
        <w:adjustRightInd w:val="0"/>
        <w:ind w:left="1080"/>
        <w:rPr>
          <w:i/>
          <w:iCs/>
          <w:color w:val="0000FF"/>
        </w:rPr>
      </w:pPr>
      <w:r>
        <w:rPr>
          <w:i/>
          <w:iCs/>
          <w:color w:val="0000FF"/>
          <w:u w:val="single"/>
        </w:rPr>
        <w:t>Example (a)</w:t>
      </w:r>
      <w:r>
        <w:rPr>
          <w:i/>
          <w:iCs/>
          <w:color w:val="0000FF"/>
        </w:rPr>
        <w:t>:</w:t>
      </w:r>
      <w:r>
        <w:rPr>
          <w:i/>
          <w:iCs/>
          <w:color w:val="0000FF"/>
        </w:rPr>
        <w:tab/>
        <w:t>(For a new facility – non Major Source.)</w:t>
      </w:r>
    </w:p>
    <w:p w:rsidR="00DB5DB6" w:rsidRDefault="00DB5DB6">
      <w:pPr>
        <w:ind w:left="1080"/>
        <w:rPr>
          <w:noProof/>
        </w:rPr>
      </w:pPr>
      <w:r>
        <w:rPr>
          <w:bCs/>
        </w:rPr>
        <w:t xml:space="preserve">New Major Sources are new facilities, which are also Major Sources. </w:t>
      </w:r>
      <w:r>
        <w:t>As shown in Section VII.C.5 above, the SSPE2 is not greater than the Major Source threshold for any criteria pollutant.  Therefore, p</w:t>
      </w:r>
      <w:r>
        <w:rPr>
          <w:noProof/>
        </w:rPr>
        <w:t>ublic noticing is not required for this project for new Major Source purposes.</w:t>
      </w:r>
    </w:p>
    <w:p w:rsidR="00DB5DB6" w:rsidRDefault="00DB5DB6">
      <w:pPr>
        <w:ind w:left="1080"/>
        <w:rPr>
          <w:i/>
          <w:iCs/>
          <w:color w:val="000000"/>
        </w:rPr>
      </w:pPr>
    </w:p>
    <w:p w:rsidR="00DB5DB6" w:rsidRDefault="00DB5DB6">
      <w:pPr>
        <w:tabs>
          <w:tab w:val="left" w:pos="2610"/>
        </w:tabs>
        <w:ind w:left="1080"/>
        <w:rPr>
          <w:i/>
          <w:iCs/>
          <w:color w:val="0000FF"/>
        </w:rPr>
      </w:pPr>
      <w:r>
        <w:rPr>
          <w:i/>
          <w:iCs/>
          <w:color w:val="0000FF"/>
          <w:u w:val="single"/>
        </w:rPr>
        <w:t>Example (c)</w:t>
      </w:r>
      <w:r>
        <w:rPr>
          <w:i/>
          <w:iCs/>
          <w:color w:val="0000FF"/>
        </w:rPr>
        <w:t>:</w:t>
      </w:r>
      <w:r>
        <w:rPr>
          <w:i/>
          <w:iCs/>
          <w:color w:val="0000FF"/>
        </w:rPr>
        <w:tab/>
        <w:t>(For an existing facility.)</w:t>
      </w:r>
    </w:p>
    <w:p w:rsidR="00DB5DB6" w:rsidRDefault="00DB5DB6">
      <w:pPr>
        <w:ind w:left="1080"/>
        <w:rPr>
          <w:color w:val="000000"/>
        </w:rPr>
      </w:pPr>
      <w:r>
        <w:rPr>
          <w:bCs/>
        </w:rPr>
        <w:t>New Major Sources are new facilities, which are also Major Sources.  Since this is not a new facility, public noticing is not required for this project for New Major Source purposes.</w:t>
      </w:r>
    </w:p>
    <w:p w:rsidR="00DB5DB6" w:rsidRDefault="00DB5DB6">
      <w:pPr>
        <w:ind w:left="1440"/>
        <w:rPr>
          <w:bCs/>
          <w:color w:val="000000"/>
        </w:rPr>
      </w:pPr>
    </w:p>
    <w:p w:rsidR="00DB5DB6" w:rsidRDefault="006E416D">
      <w:pPr>
        <w:pStyle w:val="Heading4"/>
      </w:pPr>
      <w:r>
        <w:lastRenderedPageBreak/>
        <w:t>SB 288 or Federal Major</w:t>
      </w:r>
      <w:r w:rsidR="00DB5DB6">
        <w:t xml:space="preserve"> Modification</w:t>
      </w:r>
    </w:p>
    <w:p w:rsidR="00DB5DB6" w:rsidRDefault="00DB5DB6">
      <w:pPr>
        <w:ind w:left="1440"/>
        <w:rPr>
          <w:color w:val="000000"/>
        </w:rPr>
      </w:pPr>
    </w:p>
    <w:p w:rsidR="00DB5DB6" w:rsidRDefault="00DB5DB6">
      <w:pPr>
        <w:ind w:left="1080"/>
      </w:pPr>
      <w:r>
        <w:t>As demonstrated in VII.C.7, this project does not constitute a Major Modification; therefore, public noticing for Major Modification purposes is not required.</w:t>
      </w:r>
    </w:p>
    <w:p w:rsidR="00DB5DB6" w:rsidRDefault="00DB5DB6">
      <w:pPr>
        <w:ind w:left="1440"/>
        <w:rPr>
          <w:rFonts w:cs="Arial"/>
          <w:color w:val="000000"/>
          <w:spacing w:val="-3"/>
        </w:rPr>
      </w:pPr>
    </w:p>
    <w:p w:rsidR="00DB5DB6" w:rsidRDefault="00DB5DB6">
      <w:pPr>
        <w:pStyle w:val="Heading4"/>
      </w:pPr>
      <w:r>
        <w:t>PE &gt; 100 lb/day</w:t>
      </w:r>
    </w:p>
    <w:p w:rsidR="00DB5DB6" w:rsidRDefault="00DB5DB6">
      <w:pPr>
        <w:ind w:left="1440"/>
        <w:rPr>
          <w:color w:val="000000"/>
        </w:rPr>
      </w:pPr>
    </w:p>
    <w:p w:rsidR="00DB5DB6" w:rsidRDefault="00DB5DB6">
      <w:pPr>
        <w:tabs>
          <w:tab w:val="left" w:pos="2610"/>
        </w:tabs>
        <w:autoSpaceDE w:val="0"/>
        <w:autoSpaceDN w:val="0"/>
        <w:adjustRightInd w:val="0"/>
        <w:ind w:left="1080"/>
        <w:rPr>
          <w:i/>
          <w:iCs/>
          <w:color w:val="0000FF"/>
        </w:rPr>
      </w:pPr>
      <w:r>
        <w:rPr>
          <w:i/>
          <w:iCs/>
          <w:color w:val="0000FF"/>
          <w:u w:val="single"/>
        </w:rPr>
        <w:t>Example (a)</w:t>
      </w:r>
      <w:r>
        <w:rPr>
          <w:i/>
          <w:iCs/>
          <w:color w:val="0000FF"/>
        </w:rPr>
        <w:t>:</w:t>
      </w:r>
      <w:r>
        <w:rPr>
          <w:i/>
          <w:iCs/>
          <w:color w:val="0000FF"/>
        </w:rPr>
        <w:tab/>
        <w:t>(For a project not including a new emissions unit.)</w:t>
      </w:r>
    </w:p>
    <w:p w:rsidR="00DB5DB6" w:rsidRDefault="00DB5DB6">
      <w:pPr>
        <w:ind w:left="1080"/>
        <w:rPr>
          <w:color w:val="000000"/>
        </w:rPr>
      </w:pPr>
      <w:r>
        <w:t>Applications which include a new emissions unit with a Potential to Emit greater than 100 pounds during any one day for any pollutant will trigger public noticing requirements.  There are no new emissions units associated with this project; therefore public noticing is not required for this project for Potential to Emit Purposes.</w:t>
      </w:r>
    </w:p>
    <w:p w:rsidR="00DB5DB6" w:rsidRDefault="00DB5DB6">
      <w:pPr>
        <w:ind w:left="1080"/>
        <w:rPr>
          <w:color w:val="000000"/>
        </w:rPr>
      </w:pPr>
    </w:p>
    <w:p w:rsidR="00DB5DB6" w:rsidRDefault="00DB5DB6">
      <w:pPr>
        <w:tabs>
          <w:tab w:val="left" w:pos="2610"/>
        </w:tabs>
        <w:autoSpaceDE w:val="0"/>
        <w:autoSpaceDN w:val="0"/>
        <w:adjustRightInd w:val="0"/>
        <w:ind w:left="1080"/>
        <w:rPr>
          <w:i/>
          <w:iCs/>
          <w:color w:val="0000FF"/>
        </w:rPr>
      </w:pPr>
      <w:r>
        <w:rPr>
          <w:i/>
          <w:iCs/>
          <w:color w:val="0000FF"/>
          <w:u w:val="single"/>
        </w:rPr>
        <w:t>Example (b)</w:t>
      </w:r>
      <w:r>
        <w:rPr>
          <w:i/>
          <w:iCs/>
          <w:color w:val="0000FF"/>
        </w:rPr>
        <w:t>:</w:t>
      </w:r>
      <w:r>
        <w:rPr>
          <w:i/>
          <w:iCs/>
          <w:color w:val="0000FF"/>
        </w:rPr>
        <w:tab/>
        <w:t xml:space="preserve">(For a project including a new emissions unit – PE </w:t>
      </w:r>
      <w:r>
        <w:rPr>
          <w:i/>
          <w:iCs/>
          <w:color w:val="0000FF"/>
        </w:rPr>
        <w:sym w:font="Symbol" w:char="F0A3"/>
      </w:r>
      <w:r>
        <w:rPr>
          <w:i/>
          <w:iCs/>
          <w:color w:val="0000FF"/>
        </w:rPr>
        <w:t xml:space="preserve"> 100 lb/day.)</w:t>
      </w:r>
    </w:p>
    <w:p w:rsidR="00DB5DB6" w:rsidRDefault="00DB5DB6">
      <w:pPr>
        <w:ind w:left="1080"/>
        <w:rPr>
          <w:rFonts w:cs="Arial"/>
        </w:rPr>
      </w:pPr>
      <w:r>
        <w:t xml:space="preserve">Applications which include a new emissions unit with a Potential to Emit greater than 100 pounds during any one day for any pollutant will trigger public noticing requirements.  </w:t>
      </w:r>
      <w:r>
        <w:rPr>
          <w:rFonts w:cs="Arial"/>
        </w:rPr>
        <w:t>As seen in Section VII.C.2 above, this project does not include a new emissions unit which has daily emissions greater than 100 lb/day for any pollutant, therefore public noticing for PE &gt; 100 lb/day purposes is not required.</w:t>
      </w:r>
    </w:p>
    <w:p w:rsidR="00DB5DB6" w:rsidRDefault="00DB5DB6">
      <w:pPr>
        <w:ind w:left="1080"/>
        <w:rPr>
          <w:rFonts w:cs="Arial"/>
        </w:rPr>
      </w:pPr>
    </w:p>
    <w:p w:rsidR="00DB5DB6" w:rsidRDefault="00DB5DB6">
      <w:pPr>
        <w:tabs>
          <w:tab w:val="left" w:pos="2610"/>
        </w:tabs>
        <w:autoSpaceDE w:val="0"/>
        <w:autoSpaceDN w:val="0"/>
        <w:adjustRightInd w:val="0"/>
        <w:ind w:left="1080"/>
        <w:rPr>
          <w:i/>
          <w:iCs/>
          <w:color w:val="0000FF"/>
        </w:rPr>
      </w:pPr>
      <w:r>
        <w:rPr>
          <w:i/>
          <w:iCs/>
          <w:color w:val="0000FF"/>
          <w:u w:val="single"/>
        </w:rPr>
        <w:t>Example (c)</w:t>
      </w:r>
      <w:r>
        <w:rPr>
          <w:i/>
          <w:iCs/>
          <w:color w:val="0000FF"/>
        </w:rPr>
        <w:t>:</w:t>
      </w:r>
      <w:r>
        <w:rPr>
          <w:i/>
          <w:iCs/>
          <w:color w:val="0000FF"/>
        </w:rPr>
        <w:tab/>
        <w:t>(For a project including a new emissions unit – PE &gt; 100 lb/day.)</w:t>
      </w:r>
    </w:p>
    <w:p w:rsidR="00DB5DB6" w:rsidRDefault="00DB5DB6">
      <w:pPr>
        <w:ind w:left="1080"/>
        <w:rPr>
          <w:color w:val="000000"/>
        </w:rPr>
      </w:pPr>
      <w:r>
        <w:rPr>
          <w:color w:val="000000"/>
        </w:rPr>
        <w:t>The PE2 for this new unit is compared to the daily PE Public Notice thresholds in the following table:</w:t>
      </w:r>
    </w:p>
    <w:p w:rsidR="00DB5DB6" w:rsidRDefault="00DB5DB6">
      <w:pPr>
        <w:ind w:left="1440"/>
        <w:rPr>
          <w:color w:val="000000"/>
        </w:rPr>
      </w:pPr>
    </w:p>
    <w:tbl>
      <w:tblPr>
        <w:tblW w:w="7830" w:type="dxa"/>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890"/>
        <w:gridCol w:w="2520"/>
        <w:gridCol w:w="2070"/>
      </w:tblGrid>
      <w:tr w:rsidR="00DB5DB6" w:rsidTr="00D917EC">
        <w:trPr>
          <w:cantSplit/>
          <w:trHeight w:val="300"/>
        </w:trPr>
        <w:tc>
          <w:tcPr>
            <w:tcW w:w="7830"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DB5DB6" w:rsidRDefault="00DB5DB6">
            <w:pPr>
              <w:jc w:val="center"/>
              <w:rPr>
                <w:b/>
                <w:bCs/>
                <w:color w:val="000000"/>
              </w:rPr>
            </w:pPr>
            <w:r>
              <w:rPr>
                <w:b/>
                <w:bCs/>
                <w:color w:val="000000"/>
              </w:rPr>
              <w:t>PE &gt; 100 lb/day Public Notice Thresholds</w:t>
            </w:r>
          </w:p>
        </w:tc>
      </w:tr>
      <w:tr w:rsidR="00DB5DB6" w:rsidTr="00D917EC">
        <w:trPr>
          <w:cantSplit/>
          <w:trHeight w:val="300"/>
        </w:trPr>
        <w:tc>
          <w:tcPr>
            <w:tcW w:w="1350" w:type="dxa"/>
            <w:tcBorders>
              <w:top w:val="double" w:sz="4" w:space="0" w:color="auto"/>
              <w:left w:val="double" w:sz="4" w:space="0" w:color="auto"/>
              <w:bottom w:val="single" w:sz="12" w:space="0" w:color="auto"/>
              <w:right w:val="single" w:sz="4" w:space="0" w:color="auto"/>
            </w:tcBorders>
            <w:shd w:val="clear" w:color="auto" w:fill="auto"/>
            <w:vAlign w:val="center"/>
          </w:tcPr>
          <w:p w:rsidR="00DB5DB6" w:rsidRDefault="00DB5DB6">
            <w:pPr>
              <w:jc w:val="center"/>
              <w:rPr>
                <w:color w:val="000000"/>
              </w:rPr>
            </w:pPr>
            <w:r>
              <w:rPr>
                <w:color w:val="000000"/>
              </w:rPr>
              <w:t>Pollutant</w:t>
            </w:r>
          </w:p>
        </w:tc>
        <w:tc>
          <w:tcPr>
            <w:tcW w:w="1890" w:type="dxa"/>
            <w:tcBorders>
              <w:top w:val="double" w:sz="4" w:space="0" w:color="auto"/>
              <w:left w:val="single" w:sz="4" w:space="0" w:color="auto"/>
              <w:bottom w:val="single" w:sz="12" w:space="0" w:color="auto"/>
              <w:right w:val="single" w:sz="4" w:space="0" w:color="auto"/>
            </w:tcBorders>
            <w:shd w:val="clear" w:color="auto" w:fill="auto"/>
            <w:vAlign w:val="center"/>
          </w:tcPr>
          <w:p w:rsidR="00DB5DB6" w:rsidRDefault="00DB5DB6">
            <w:pPr>
              <w:jc w:val="center"/>
              <w:rPr>
                <w:color w:val="000000"/>
              </w:rPr>
            </w:pPr>
            <w:r>
              <w:rPr>
                <w:color w:val="000000"/>
              </w:rPr>
              <w:t>PE2</w:t>
            </w:r>
          </w:p>
          <w:p w:rsidR="00DB5DB6" w:rsidRDefault="00DB5DB6">
            <w:pPr>
              <w:jc w:val="center"/>
              <w:rPr>
                <w:color w:val="000000"/>
              </w:rPr>
            </w:pPr>
            <w:r>
              <w:rPr>
                <w:color w:val="000000"/>
              </w:rPr>
              <w:t>(lb/day)</w:t>
            </w:r>
          </w:p>
        </w:tc>
        <w:tc>
          <w:tcPr>
            <w:tcW w:w="2520" w:type="dxa"/>
            <w:tcBorders>
              <w:top w:val="double" w:sz="4" w:space="0" w:color="auto"/>
              <w:left w:val="single" w:sz="4" w:space="0" w:color="auto"/>
              <w:bottom w:val="single" w:sz="12" w:space="0" w:color="auto"/>
              <w:right w:val="single" w:sz="4" w:space="0" w:color="auto"/>
            </w:tcBorders>
            <w:shd w:val="clear" w:color="auto" w:fill="auto"/>
            <w:vAlign w:val="center"/>
          </w:tcPr>
          <w:p w:rsidR="00DB5DB6" w:rsidRDefault="00DB5DB6">
            <w:pPr>
              <w:jc w:val="center"/>
              <w:rPr>
                <w:color w:val="000000"/>
              </w:rPr>
            </w:pPr>
            <w:r>
              <w:rPr>
                <w:color w:val="000000"/>
              </w:rPr>
              <w:t>Public Notice Threshold</w:t>
            </w:r>
          </w:p>
        </w:tc>
        <w:tc>
          <w:tcPr>
            <w:tcW w:w="2070" w:type="dxa"/>
            <w:tcBorders>
              <w:top w:val="double" w:sz="4" w:space="0" w:color="auto"/>
              <w:left w:val="single" w:sz="4" w:space="0" w:color="auto"/>
              <w:bottom w:val="single" w:sz="12" w:space="0" w:color="auto"/>
              <w:right w:val="double" w:sz="4" w:space="0" w:color="auto"/>
            </w:tcBorders>
            <w:shd w:val="clear" w:color="auto" w:fill="auto"/>
            <w:vAlign w:val="center"/>
          </w:tcPr>
          <w:p w:rsidR="00DB5DB6" w:rsidRDefault="00DB5DB6">
            <w:pPr>
              <w:jc w:val="center"/>
              <w:rPr>
                <w:color w:val="000000"/>
              </w:rPr>
            </w:pPr>
            <w:r>
              <w:rPr>
                <w:color w:val="000000"/>
              </w:rPr>
              <w:t>Public Notice Triggered?</w:t>
            </w:r>
          </w:p>
        </w:tc>
      </w:tr>
      <w:tr w:rsidR="00DB5DB6" w:rsidTr="00D266D5">
        <w:tc>
          <w:tcPr>
            <w:tcW w:w="1350" w:type="dxa"/>
            <w:tcBorders>
              <w:top w:val="nil"/>
              <w:left w:val="double" w:sz="4" w:space="0" w:color="auto"/>
              <w:right w:val="single" w:sz="4" w:space="0" w:color="auto"/>
            </w:tcBorders>
            <w:vAlign w:val="center"/>
          </w:tcPr>
          <w:p w:rsidR="00DB5DB6" w:rsidRDefault="00DB5DB6">
            <w:pPr>
              <w:jc w:val="center"/>
              <w:rPr>
                <w:color w:val="000000"/>
              </w:rPr>
            </w:pPr>
            <w:r>
              <w:rPr>
                <w:color w:val="000000"/>
              </w:rPr>
              <w:t>NO</w:t>
            </w:r>
            <w:r>
              <w:rPr>
                <w:color w:val="000000"/>
                <w:vertAlign w:val="subscript"/>
              </w:rPr>
              <w:t>X</w:t>
            </w:r>
          </w:p>
        </w:tc>
        <w:tc>
          <w:tcPr>
            <w:tcW w:w="1890" w:type="dxa"/>
            <w:tcBorders>
              <w:top w:val="nil"/>
              <w:left w:val="single" w:sz="4" w:space="0" w:color="auto"/>
              <w:right w:val="nil"/>
            </w:tcBorders>
            <w:vAlign w:val="center"/>
          </w:tcPr>
          <w:p w:rsidR="00DB5DB6" w:rsidRDefault="00DB5DB6">
            <w:pPr>
              <w:jc w:val="center"/>
              <w:rPr>
                <w:color w:val="000000"/>
              </w:rPr>
            </w:pPr>
            <w:r>
              <w:rPr>
                <w:color w:val="000000"/>
              </w:rPr>
              <w:t>0</w:t>
            </w:r>
          </w:p>
        </w:tc>
        <w:tc>
          <w:tcPr>
            <w:tcW w:w="2520" w:type="dxa"/>
            <w:tcBorders>
              <w:top w:val="nil"/>
              <w:left w:val="single" w:sz="4" w:space="0" w:color="auto"/>
              <w:right w:val="single" w:sz="4" w:space="0" w:color="auto"/>
            </w:tcBorders>
            <w:vAlign w:val="center"/>
          </w:tcPr>
          <w:p w:rsidR="00DB5DB6" w:rsidRDefault="00DB5DB6">
            <w:pPr>
              <w:jc w:val="center"/>
              <w:rPr>
                <w:color w:val="000000"/>
              </w:rPr>
            </w:pPr>
            <w:r>
              <w:rPr>
                <w:color w:val="000000"/>
              </w:rPr>
              <w:t>100 lb/day</w:t>
            </w:r>
          </w:p>
        </w:tc>
        <w:tc>
          <w:tcPr>
            <w:tcW w:w="2070" w:type="dxa"/>
            <w:tcBorders>
              <w:top w:val="nil"/>
              <w:left w:val="single" w:sz="4" w:space="0" w:color="auto"/>
              <w:right w:val="double" w:sz="4" w:space="0" w:color="auto"/>
            </w:tcBorders>
            <w:vAlign w:val="center"/>
          </w:tcPr>
          <w:p w:rsidR="00DB5DB6" w:rsidRDefault="00C33D00">
            <w:pPr>
              <w:jc w:val="center"/>
              <w:rPr>
                <w:color w:val="000000"/>
              </w:rPr>
            </w:pPr>
            <w:r>
              <w:rPr>
                <w:color w:val="000000"/>
              </w:rPr>
              <w:t>No</w:t>
            </w:r>
          </w:p>
        </w:tc>
      </w:tr>
      <w:tr w:rsidR="00DB5DB6" w:rsidTr="00D266D5">
        <w:tc>
          <w:tcPr>
            <w:tcW w:w="1350" w:type="dxa"/>
            <w:tcBorders>
              <w:left w:val="double" w:sz="4" w:space="0" w:color="auto"/>
              <w:right w:val="single" w:sz="4" w:space="0" w:color="auto"/>
            </w:tcBorders>
            <w:vAlign w:val="center"/>
          </w:tcPr>
          <w:p w:rsidR="00DB5DB6" w:rsidRDefault="00DB5DB6">
            <w:pPr>
              <w:jc w:val="center"/>
              <w:rPr>
                <w:color w:val="000000"/>
              </w:rPr>
            </w:pPr>
            <w:r>
              <w:rPr>
                <w:color w:val="000000"/>
              </w:rPr>
              <w:t>SO</w:t>
            </w:r>
            <w:r>
              <w:rPr>
                <w:color w:val="000000"/>
                <w:vertAlign w:val="subscript"/>
              </w:rPr>
              <w:t>X</w:t>
            </w:r>
          </w:p>
        </w:tc>
        <w:tc>
          <w:tcPr>
            <w:tcW w:w="1890" w:type="dxa"/>
            <w:tcBorders>
              <w:left w:val="single" w:sz="4" w:space="0" w:color="auto"/>
              <w:right w:val="nil"/>
            </w:tcBorders>
            <w:vAlign w:val="center"/>
          </w:tcPr>
          <w:p w:rsidR="00DB5DB6" w:rsidRDefault="00DB5DB6">
            <w:pPr>
              <w:jc w:val="center"/>
              <w:rPr>
                <w:color w:val="000000"/>
              </w:rPr>
            </w:pPr>
            <w:r>
              <w:rPr>
                <w:color w:val="000000"/>
              </w:rPr>
              <w:t>0</w:t>
            </w:r>
          </w:p>
        </w:tc>
        <w:tc>
          <w:tcPr>
            <w:tcW w:w="2520" w:type="dxa"/>
            <w:tcBorders>
              <w:left w:val="single" w:sz="4" w:space="0" w:color="auto"/>
              <w:right w:val="single" w:sz="4" w:space="0" w:color="auto"/>
            </w:tcBorders>
            <w:vAlign w:val="center"/>
          </w:tcPr>
          <w:p w:rsidR="00DB5DB6" w:rsidRDefault="00DB5DB6">
            <w:pPr>
              <w:jc w:val="center"/>
              <w:rPr>
                <w:color w:val="000000"/>
              </w:rPr>
            </w:pPr>
            <w:r>
              <w:rPr>
                <w:color w:val="000000"/>
              </w:rPr>
              <w:t>100 lb/day</w:t>
            </w:r>
          </w:p>
        </w:tc>
        <w:tc>
          <w:tcPr>
            <w:tcW w:w="2070" w:type="dxa"/>
            <w:tcBorders>
              <w:left w:val="single" w:sz="4" w:space="0" w:color="auto"/>
              <w:right w:val="double" w:sz="4" w:space="0" w:color="auto"/>
            </w:tcBorders>
            <w:vAlign w:val="center"/>
          </w:tcPr>
          <w:p w:rsidR="00DB5DB6" w:rsidRDefault="00DB5DB6">
            <w:pPr>
              <w:jc w:val="center"/>
              <w:rPr>
                <w:color w:val="000000"/>
              </w:rPr>
            </w:pPr>
            <w:r>
              <w:rPr>
                <w:color w:val="000000"/>
              </w:rPr>
              <w:t>No</w:t>
            </w:r>
          </w:p>
        </w:tc>
      </w:tr>
      <w:tr w:rsidR="00DB5DB6" w:rsidTr="00D266D5">
        <w:tc>
          <w:tcPr>
            <w:tcW w:w="1350" w:type="dxa"/>
            <w:tcBorders>
              <w:left w:val="double" w:sz="4" w:space="0" w:color="auto"/>
              <w:right w:val="single" w:sz="4" w:space="0" w:color="auto"/>
            </w:tcBorders>
            <w:vAlign w:val="center"/>
          </w:tcPr>
          <w:p w:rsidR="00DB5DB6" w:rsidRDefault="00DB5DB6">
            <w:pPr>
              <w:jc w:val="center"/>
              <w:rPr>
                <w:color w:val="000000"/>
              </w:rPr>
            </w:pPr>
            <w:r>
              <w:rPr>
                <w:color w:val="000000"/>
              </w:rPr>
              <w:t>PM</w:t>
            </w:r>
            <w:r>
              <w:rPr>
                <w:color w:val="000000"/>
                <w:vertAlign w:val="subscript"/>
              </w:rPr>
              <w:t>10</w:t>
            </w:r>
          </w:p>
        </w:tc>
        <w:tc>
          <w:tcPr>
            <w:tcW w:w="1890" w:type="dxa"/>
            <w:tcBorders>
              <w:left w:val="single" w:sz="4" w:space="0" w:color="auto"/>
              <w:right w:val="nil"/>
            </w:tcBorders>
            <w:vAlign w:val="center"/>
          </w:tcPr>
          <w:p w:rsidR="00DB5DB6" w:rsidRDefault="00DB5DB6">
            <w:pPr>
              <w:jc w:val="center"/>
              <w:rPr>
                <w:color w:val="000000"/>
              </w:rPr>
            </w:pPr>
            <w:r>
              <w:rPr>
                <w:color w:val="000000"/>
              </w:rPr>
              <w:t>0</w:t>
            </w:r>
          </w:p>
        </w:tc>
        <w:tc>
          <w:tcPr>
            <w:tcW w:w="2520" w:type="dxa"/>
            <w:tcBorders>
              <w:left w:val="single" w:sz="4" w:space="0" w:color="auto"/>
              <w:right w:val="single" w:sz="4" w:space="0" w:color="auto"/>
            </w:tcBorders>
            <w:vAlign w:val="center"/>
          </w:tcPr>
          <w:p w:rsidR="00DB5DB6" w:rsidRDefault="00DB5DB6">
            <w:pPr>
              <w:jc w:val="center"/>
              <w:rPr>
                <w:color w:val="000000"/>
              </w:rPr>
            </w:pPr>
            <w:r>
              <w:rPr>
                <w:color w:val="000000"/>
              </w:rPr>
              <w:t>100 lb/day</w:t>
            </w:r>
          </w:p>
        </w:tc>
        <w:tc>
          <w:tcPr>
            <w:tcW w:w="2070" w:type="dxa"/>
            <w:tcBorders>
              <w:left w:val="single" w:sz="4" w:space="0" w:color="auto"/>
              <w:right w:val="double" w:sz="4" w:space="0" w:color="auto"/>
            </w:tcBorders>
            <w:vAlign w:val="center"/>
          </w:tcPr>
          <w:p w:rsidR="00DB5DB6" w:rsidRDefault="00DB5DB6">
            <w:pPr>
              <w:jc w:val="center"/>
              <w:rPr>
                <w:color w:val="000000"/>
              </w:rPr>
            </w:pPr>
            <w:r>
              <w:rPr>
                <w:color w:val="000000"/>
              </w:rPr>
              <w:t>No</w:t>
            </w:r>
          </w:p>
        </w:tc>
      </w:tr>
      <w:tr w:rsidR="00DB5DB6" w:rsidTr="00D266D5">
        <w:tc>
          <w:tcPr>
            <w:tcW w:w="1350" w:type="dxa"/>
            <w:tcBorders>
              <w:left w:val="double" w:sz="4" w:space="0" w:color="auto"/>
              <w:right w:val="single" w:sz="4" w:space="0" w:color="auto"/>
            </w:tcBorders>
            <w:vAlign w:val="center"/>
          </w:tcPr>
          <w:p w:rsidR="00DB5DB6" w:rsidRDefault="00DB5DB6">
            <w:pPr>
              <w:jc w:val="center"/>
              <w:rPr>
                <w:color w:val="000000"/>
              </w:rPr>
            </w:pPr>
            <w:r>
              <w:rPr>
                <w:color w:val="000000"/>
              </w:rPr>
              <w:t>CO</w:t>
            </w:r>
          </w:p>
        </w:tc>
        <w:tc>
          <w:tcPr>
            <w:tcW w:w="1890" w:type="dxa"/>
            <w:tcBorders>
              <w:left w:val="single" w:sz="4" w:space="0" w:color="auto"/>
              <w:right w:val="nil"/>
            </w:tcBorders>
            <w:vAlign w:val="center"/>
          </w:tcPr>
          <w:p w:rsidR="00DB5DB6" w:rsidRDefault="00DB5DB6">
            <w:pPr>
              <w:jc w:val="center"/>
              <w:rPr>
                <w:color w:val="000000"/>
              </w:rPr>
            </w:pPr>
            <w:r>
              <w:rPr>
                <w:color w:val="000000"/>
              </w:rPr>
              <w:t>0</w:t>
            </w:r>
          </w:p>
        </w:tc>
        <w:tc>
          <w:tcPr>
            <w:tcW w:w="2520" w:type="dxa"/>
            <w:tcBorders>
              <w:left w:val="single" w:sz="4" w:space="0" w:color="auto"/>
              <w:right w:val="single" w:sz="4" w:space="0" w:color="auto"/>
            </w:tcBorders>
            <w:vAlign w:val="center"/>
          </w:tcPr>
          <w:p w:rsidR="00DB5DB6" w:rsidRDefault="00DB5DB6">
            <w:pPr>
              <w:jc w:val="center"/>
              <w:rPr>
                <w:color w:val="000000"/>
              </w:rPr>
            </w:pPr>
            <w:r>
              <w:rPr>
                <w:color w:val="000000"/>
              </w:rPr>
              <w:t>100 lb/day</w:t>
            </w:r>
          </w:p>
        </w:tc>
        <w:tc>
          <w:tcPr>
            <w:tcW w:w="2070" w:type="dxa"/>
            <w:tcBorders>
              <w:left w:val="single" w:sz="4" w:space="0" w:color="auto"/>
              <w:right w:val="double" w:sz="4" w:space="0" w:color="auto"/>
            </w:tcBorders>
            <w:vAlign w:val="center"/>
          </w:tcPr>
          <w:p w:rsidR="00DB5DB6" w:rsidRDefault="00C33D00">
            <w:pPr>
              <w:jc w:val="center"/>
              <w:rPr>
                <w:color w:val="000000"/>
              </w:rPr>
            </w:pPr>
            <w:r>
              <w:rPr>
                <w:color w:val="000000"/>
              </w:rPr>
              <w:t>No</w:t>
            </w:r>
          </w:p>
        </w:tc>
      </w:tr>
      <w:tr w:rsidR="00DB5DB6" w:rsidTr="00D266D5">
        <w:trPr>
          <w:trHeight w:val="70"/>
        </w:trPr>
        <w:tc>
          <w:tcPr>
            <w:tcW w:w="1350" w:type="dxa"/>
            <w:tcBorders>
              <w:left w:val="double" w:sz="4" w:space="0" w:color="auto"/>
              <w:bottom w:val="double" w:sz="4" w:space="0" w:color="auto"/>
              <w:right w:val="single" w:sz="4" w:space="0" w:color="auto"/>
            </w:tcBorders>
            <w:vAlign w:val="center"/>
          </w:tcPr>
          <w:p w:rsidR="00DB5DB6" w:rsidRDefault="00DB5DB6">
            <w:pPr>
              <w:jc w:val="center"/>
              <w:rPr>
                <w:color w:val="000000"/>
              </w:rPr>
            </w:pPr>
            <w:r>
              <w:rPr>
                <w:color w:val="000000"/>
              </w:rPr>
              <w:t>VOC</w:t>
            </w:r>
          </w:p>
        </w:tc>
        <w:tc>
          <w:tcPr>
            <w:tcW w:w="1890" w:type="dxa"/>
            <w:tcBorders>
              <w:left w:val="single" w:sz="4" w:space="0" w:color="auto"/>
              <w:bottom w:val="double" w:sz="4" w:space="0" w:color="auto"/>
              <w:right w:val="nil"/>
            </w:tcBorders>
            <w:vAlign w:val="center"/>
          </w:tcPr>
          <w:p w:rsidR="00DB5DB6" w:rsidRDefault="00C33D00">
            <w:pPr>
              <w:jc w:val="center"/>
              <w:rPr>
                <w:color w:val="000000"/>
              </w:rPr>
            </w:pPr>
            <w:r>
              <w:rPr>
                <w:color w:val="000000"/>
              </w:rPr>
              <w:t>11</w:t>
            </w:r>
            <w:r w:rsidR="006E416D">
              <w:rPr>
                <w:color w:val="000000"/>
              </w:rPr>
              <w:t>0</w:t>
            </w:r>
          </w:p>
        </w:tc>
        <w:tc>
          <w:tcPr>
            <w:tcW w:w="2520" w:type="dxa"/>
            <w:tcBorders>
              <w:left w:val="single" w:sz="4" w:space="0" w:color="auto"/>
              <w:bottom w:val="double" w:sz="4" w:space="0" w:color="auto"/>
              <w:right w:val="single" w:sz="4" w:space="0" w:color="auto"/>
            </w:tcBorders>
            <w:vAlign w:val="center"/>
          </w:tcPr>
          <w:p w:rsidR="00DB5DB6" w:rsidRDefault="00DB5DB6">
            <w:pPr>
              <w:jc w:val="center"/>
              <w:rPr>
                <w:color w:val="000000"/>
              </w:rPr>
            </w:pPr>
            <w:r>
              <w:rPr>
                <w:color w:val="000000"/>
              </w:rPr>
              <w:t>100 lb/day</w:t>
            </w:r>
          </w:p>
        </w:tc>
        <w:tc>
          <w:tcPr>
            <w:tcW w:w="2070" w:type="dxa"/>
            <w:tcBorders>
              <w:left w:val="single" w:sz="4" w:space="0" w:color="auto"/>
              <w:bottom w:val="double" w:sz="4" w:space="0" w:color="auto"/>
              <w:right w:val="double" w:sz="4" w:space="0" w:color="auto"/>
            </w:tcBorders>
            <w:vAlign w:val="center"/>
          </w:tcPr>
          <w:p w:rsidR="00DB5DB6" w:rsidRDefault="00535FD3" w:rsidP="00535FD3">
            <w:pPr>
              <w:jc w:val="center"/>
              <w:rPr>
                <w:color w:val="000000"/>
              </w:rPr>
            </w:pPr>
            <w:r>
              <w:rPr>
                <w:color w:val="000000"/>
              </w:rPr>
              <w:t>Yes</w:t>
            </w:r>
          </w:p>
        </w:tc>
      </w:tr>
    </w:tbl>
    <w:p w:rsidR="00DB5DB6" w:rsidRDefault="00DB5DB6">
      <w:pPr>
        <w:ind w:left="1440"/>
        <w:rPr>
          <w:color w:val="000000"/>
        </w:rPr>
      </w:pPr>
    </w:p>
    <w:p w:rsidR="00DB5DB6" w:rsidRDefault="00DB5DB6">
      <w:pPr>
        <w:ind w:left="1080"/>
        <w:rPr>
          <w:color w:val="000000"/>
        </w:rPr>
      </w:pPr>
      <w:r>
        <w:rPr>
          <w:color w:val="000000"/>
        </w:rPr>
        <w:t xml:space="preserve">Therefore, public noticing for </w:t>
      </w:r>
      <w:r>
        <w:rPr>
          <w:rFonts w:cs="Arial"/>
        </w:rPr>
        <w:t xml:space="preserve">PE &gt; 100 lb/day </w:t>
      </w:r>
      <w:r>
        <w:rPr>
          <w:color w:val="000000"/>
        </w:rPr>
        <w:t>purposes is required.</w:t>
      </w:r>
    </w:p>
    <w:p w:rsidR="00DB5DB6" w:rsidRDefault="00DB5DB6">
      <w:pPr>
        <w:ind w:left="1440"/>
        <w:rPr>
          <w:bCs/>
          <w:color w:val="000000"/>
        </w:rPr>
      </w:pPr>
    </w:p>
    <w:p w:rsidR="00DB5DB6" w:rsidRDefault="00DB5DB6">
      <w:pPr>
        <w:pStyle w:val="Heading4"/>
      </w:pPr>
      <w:r>
        <w:t>Offset Threshold</w:t>
      </w:r>
    </w:p>
    <w:p w:rsidR="00DB5DB6" w:rsidRDefault="00DB5DB6">
      <w:pPr>
        <w:tabs>
          <w:tab w:val="left" w:pos="2610"/>
        </w:tabs>
        <w:autoSpaceDE w:val="0"/>
        <w:autoSpaceDN w:val="0"/>
        <w:adjustRightInd w:val="0"/>
        <w:ind w:left="1440"/>
        <w:rPr>
          <w:i/>
          <w:iCs/>
          <w:color w:val="0000FF"/>
          <w:u w:val="single"/>
        </w:rPr>
      </w:pPr>
    </w:p>
    <w:p w:rsidR="00DB5DB6" w:rsidRDefault="00DB5DB6">
      <w:pPr>
        <w:tabs>
          <w:tab w:val="left" w:pos="2610"/>
        </w:tabs>
        <w:autoSpaceDE w:val="0"/>
        <w:autoSpaceDN w:val="0"/>
        <w:adjustRightInd w:val="0"/>
        <w:ind w:left="1080"/>
        <w:rPr>
          <w:i/>
          <w:iCs/>
          <w:color w:val="0000FF"/>
        </w:rPr>
      </w:pPr>
      <w:r>
        <w:rPr>
          <w:i/>
          <w:iCs/>
          <w:color w:val="0000FF"/>
          <w:u w:val="single"/>
        </w:rPr>
        <w:t>Example (a)</w:t>
      </w:r>
      <w:r>
        <w:rPr>
          <w:i/>
          <w:iCs/>
          <w:color w:val="0000FF"/>
        </w:rPr>
        <w:t>:</w:t>
      </w:r>
      <w:r>
        <w:rPr>
          <w:i/>
          <w:iCs/>
          <w:color w:val="0000FF"/>
        </w:rPr>
        <w:tab/>
        <w:t>(For a project not surpassing the offset threshold.)</w:t>
      </w:r>
    </w:p>
    <w:p w:rsidR="00DB5DB6" w:rsidRDefault="00DB5DB6">
      <w:pPr>
        <w:pStyle w:val="BodyTextIndent2"/>
        <w:ind w:left="1080"/>
        <w:rPr>
          <w:snapToGrid/>
        </w:rPr>
      </w:pPr>
      <w:r>
        <w:rPr>
          <w:snapToGrid/>
        </w:rPr>
        <w:t>The following table compares the SSPE1 with the SSPE2 in order to determine if any offset thresholds have been surpassed with this project.</w:t>
      </w:r>
    </w:p>
    <w:p w:rsidR="00DB5DB6" w:rsidRDefault="00DB5DB6">
      <w:pPr>
        <w:ind w:left="1440"/>
      </w:pPr>
    </w:p>
    <w:tbl>
      <w:tblPr>
        <w:tblW w:w="8820" w:type="dxa"/>
        <w:tblInd w:w="154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350"/>
        <w:gridCol w:w="1800"/>
        <w:gridCol w:w="1980"/>
        <w:gridCol w:w="1980"/>
        <w:gridCol w:w="1710"/>
      </w:tblGrid>
      <w:tr w:rsidR="00DB5DB6" w:rsidTr="00D917EC">
        <w:trPr>
          <w:cantSplit/>
          <w:trHeight w:val="300"/>
        </w:trPr>
        <w:tc>
          <w:tcPr>
            <w:tcW w:w="8820" w:type="dxa"/>
            <w:gridSpan w:val="5"/>
            <w:tcBorders>
              <w:top w:val="double" w:sz="4" w:space="0" w:color="auto"/>
              <w:left w:val="double" w:sz="4" w:space="0" w:color="auto"/>
              <w:bottom w:val="double" w:sz="4" w:space="0" w:color="auto"/>
              <w:right w:val="double" w:sz="4" w:space="0" w:color="auto"/>
            </w:tcBorders>
            <w:shd w:val="clear" w:color="auto" w:fill="auto"/>
            <w:vAlign w:val="center"/>
          </w:tcPr>
          <w:p w:rsidR="00DB5DB6" w:rsidRDefault="00DB5DB6">
            <w:pPr>
              <w:keepNext/>
              <w:jc w:val="center"/>
              <w:rPr>
                <w:b/>
                <w:bCs/>
              </w:rPr>
            </w:pPr>
            <w:r>
              <w:rPr>
                <w:rFonts w:cs="Arial"/>
                <w:b/>
                <w:bCs/>
              </w:rPr>
              <w:lastRenderedPageBreak/>
              <w:t>Offset Threshold</w:t>
            </w:r>
          </w:p>
        </w:tc>
      </w:tr>
      <w:tr w:rsidR="00DB5DB6" w:rsidTr="00D917EC">
        <w:trPr>
          <w:trHeight w:val="300"/>
        </w:trPr>
        <w:tc>
          <w:tcPr>
            <w:tcW w:w="1350" w:type="dxa"/>
            <w:tcBorders>
              <w:top w:val="double" w:sz="4" w:space="0" w:color="auto"/>
              <w:left w:val="double" w:sz="4" w:space="0" w:color="auto"/>
              <w:bottom w:val="single" w:sz="12" w:space="0" w:color="auto"/>
              <w:right w:val="single" w:sz="4" w:space="0" w:color="auto"/>
            </w:tcBorders>
            <w:shd w:val="clear" w:color="auto" w:fill="auto"/>
            <w:vAlign w:val="center"/>
          </w:tcPr>
          <w:p w:rsidR="00DB5DB6" w:rsidRDefault="00DB5DB6">
            <w:pPr>
              <w:keepNext/>
              <w:jc w:val="center"/>
            </w:pPr>
            <w:r>
              <w:rPr>
                <w:rFonts w:cs="Arial"/>
              </w:rPr>
              <w:t>Pollutant</w:t>
            </w:r>
          </w:p>
        </w:tc>
        <w:tc>
          <w:tcPr>
            <w:tcW w:w="1800" w:type="dxa"/>
            <w:tcBorders>
              <w:top w:val="double" w:sz="4" w:space="0" w:color="auto"/>
              <w:left w:val="single" w:sz="4" w:space="0" w:color="auto"/>
              <w:bottom w:val="single" w:sz="12" w:space="0" w:color="auto"/>
              <w:right w:val="single" w:sz="4" w:space="0" w:color="auto"/>
            </w:tcBorders>
            <w:shd w:val="clear" w:color="auto" w:fill="auto"/>
            <w:vAlign w:val="center"/>
          </w:tcPr>
          <w:p w:rsidR="00DB5DB6" w:rsidRDefault="00DB5DB6">
            <w:pPr>
              <w:keepNext/>
              <w:jc w:val="center"/>
            </w:pPr>
            <w:r>
              <w:t xml:space="preserve">SSPE1 </w:t>
            </w:r>
          </w:p>
          <w:p w:rsidR="00DB5DB6" w:rsidRDefault="00DB5DB6">
            <w:pPr>
              <w:keepNext/>
              <w:jc w:val="center"/>
              <w:rPr>
                <w:rFonts w:cs="Arial"/>
                <w:szCs w:val="24"/>
              </w:rPr>
            </w:pPr>
            <w:r>
              <w:t>(lb/year)</w:t>
            </w:r>
          </w:p>
        </w:tc>
        <w:tc>
          <w:tcPr>
            <w:tcW w:w="1980" w:type="dxa"/>
            <w:tcBorders>
              <w:top w:val="double" w:sz="4" w:space="0" w:color="auto"/>
              <w:left w:val="single" w:sz="4" w:space="0" w:color="auto"/>
              <w:bottom w:val="single" w:sz="12" w:space="0" w:color="auto"/>
              <w:right w:val="single" w:sz="4" w:space="0" w:color="auto"/>
            </w:tcBorders>
            <w:shd w:val="clear" w:color="auto" w:fill="auto"/>
            <w:vAlign w:val="center"/>
          </w:tcPr>
          <w:p w:rsidR="00DB5DB6" w:rsidRDefault="00DB5DB6">
            <w:pPr>
              <w:keepNext/>
              <w:jc w:val="center"/>
            </w:pPr>
            <w:r>
              <w:t>SSPE2</w:t>
            </w:r>
          </w:p>
          <w:p w:rsidR="00DB5DB6" w:rsidRDefault="00DB5DB6">
            <w:pPr>
              <w:keepNext/>
              <w:jc w:val="center"/>
            </w:pPr>
            <w:r>
              <w:t>(lb/year)</w:t>
            </w:r>
          </w:p>
        </w:tc>
        <w:tc>
          <w:tcPr>
            <w:tcW w:w="1980" w:type="dxa"/>
            <w:tcBorders>
              <w:top w:val="double" w:sz="4" w:space="0" w:color="auto"/>
              <w:left w:val="single" w:sz="4" w:space="0" w:color="auto"/>
              <w:bottom w:val="single" w:sz="12" w:space="0" w:color="auto"/>
              <w:right w:val="single" w:sz="4" w:space="0" w:color="auto"/>
            </w:tcBorders>
            <w:shd w:val="clear" w:color="auto" w:fill="auto"/>
            <w:vAlign w:val="center"/>
          </w:tcPr>
          <w:p w:rsidR="00DB5DB6" w:rsidRDefault="00DB5DB6">
            <w:pPr>
              <w:keepNext/>
              <w:jc w:val="center"/>
            </w:pPr>
            <w:r>
              <w:rPr>
                <w:rFonts w:cs="Arial"/>
              </w:rPr>
              <w:t>Offset</w:t>
            </w:r>
          </w:p>
          <w:p w:rsidR="00DB5DB6" w:rsidRDefault="00DB5DB6">
            <w:pPr>
              <w:keepNext/>
              <w:jc w:val="center"/>
            </w:pPr>
            <w:r>
              <w:rPr>
                <w:rFonts w:cs="Arial"/>
              </w:rPr>
              <w:t>Threshold</w:t>
            </w:r>
          </w:p>
        </w:tc>
        <w:tc>
          <w:tcPr>
            <w:tcW w:w="1710" w:type="dxa"/>
            <w:tcBorders>
              <w:top w:val="double" w:sz="4" w:space="0" w:color="auto"/>
              <w:left w:val="single" w:sz="4" w:space="0" w:color="auto"/>
              <w:bottom w:val="single" w:sz="12" w:space="0" w:color="auto"/>
              <w:right w:val="double" w:sz="4" w:space="0" w:color="auto"/>
            </w:tcBorders>
            <w:shd w:val="clear" w:color="auto" w:fill="auto"/>
            <w:vAlign w:val="center"/>
          </w:tcPr>
          <w:p w:rsidR="00DB5DB6" w:rsidRDefault="00DB5DB6">
            <w:pPr>
              <w:keepNext/>
              <w:jc w:val="center"/>
            </w:pPr>
            <w:r>
              <w:rPr>
                <w:rFonts w:cs="Arial"/>
              </w:rPr>
              <w:t>Public Notice Required?</w:t>
            </w:r>
          </w:p>
        </w:tc>
      </w:tr>
      <w:tr w:rsidR="00DB5DB6" w:rsidTr="00D266D5">
        <w:trPr>
          <w:trHeight w:val="300"/>
        </w:trPr>
        <w:tc>
          <w:tcPr>
            <w:tcW w:w="1350" w:type="dxa"/>
            <w:tcBorders>
              <w:top w:val="single" w:sz="12" w:space="0" w:color="auto"/>
              <w:left w:val="double" w:sz="4" w:space="0" w:color="auto"/>
              <w:bottom w:val="single" w:sz="4" w:space="0" w:color="auto"/>
              <w:right w:val="single" w:sz="4" w:space="0" w:color="auto"/>
            </w:tcBorders>
            <w:vAlign w:val="center"/>
          </w:tcPr>
          <w:p w:rsidR="00DB5DB6" w:rsidRDefault="00DB5DB6">
            <w:pPr>
              <w:keepNext/>
              <w:jc w:val="center"/>
            </w:pPr>
            <w:r>
              <w:t>NO</w:t>
            </w:r>
            <w:r>
              <w:rPr>
                <w:vertAlign w:val="subscript"/>
              </w:rPr>
              <w:t>X</w:t>
            </w:r>
          </w:p>
        </w:tc>
        <w:tc>
          <w:tcPr>
            <w:tcW w:w="1800" w:type="dxa"/>
            <w:tcBorders>
              <w:top w:val="single" w:sz="12" w:space="0" w:color="auto"/>
              <w:left w:val="single" w:sz="4" w:space="0" w:color="auto"/>
              <w:bottom w:val="single" w:sz="4" w:space="0" w:color="auto"/>
              <w:right w:val="single" w:sz="4" w:space="0" w:color="auto"/>
            </w:tcBorders>
            <w:vAlign w:val="center"/>
          </w:tcPr>
          <w:p w:rsidR="00DB5DB6" w:rsidRDefault="00DB5DB6">
            <w:pPr>
              <w:keepNext/>
              <w:jc w:val="center"/>
              <w:rPr>
                <w:rFonts w:cs="Arial"/>
              </w:rPr>
            </w:pPr>
            <w:r>
              <w:rPr>
                <w:rFonts w:cs="Arial"/>
              </w:rPr>
              <w:t>0</w:t>
            </w:r>
          </w:p>
        </w:tc>
        <w:tc>
          <w:tcPr>
            <w:tcW w:w="1980" w:type="dxa"/>
            <w:tcBorders>
              <w:top w:val="single" w:sz="12" w:space="0" w:color="auto"/>
              <w:left w:val="single" w:sz="4" w:space="0" w:color="auto"/>
              <w:bottom w:val="single" w:sz="4" w:space="0" w:color="auto"/>
              <w:right w:val="single" w:sz="4" w:space="0" w:color="auto"/>
            </w:tcBorders>
            <w:vAlign w:val="center"/>
          </w:tcPr>
          <w:p w:rsidR="00DB5DB6" w:rsidRDefault="00DB5DB6">
            <w:pPr>
              <w:keepNext/>
              <w:jc w:val="center"/>
              <w:rPr>
                <w:rFonts w:cs="Arial"/>
              </w:rPr>
            </w:pPr>
            <w:r>
              <w:rPr>
                <w:rFonts w:cs="Arial"/>
              </w:rPr>
              <w:t>0</w:t>
            </w:r>
          </w:p>
        </w:tc>
        <w:tc>
          <w:tcPr>
            <w:tcW w:w="1980" w:type="dxa"/>
            <w:tcBorders>
              <w:top w:val="single" w:sz="12" w:space="0" w:color="auto"/>
              <w:left w:val="single" w:sz="4" w:space="0" w:color="auto"/>
              <w:bottom w:val="single" w:sz="4" w:space="0" w:color="auto"/>
              <w:right w:val="single" w:sz="4" w:space="0" w:color="auto"/>
            </w:tcBorders>
            <w:vAlign w:val="center"/>
          </w:tcPr>
          <w:p w:rsidR="00DB5DB6" w:rsidRDefault="00DB5DB6">
            <w:pPr>
              <w:keepNext/>
              <w:jc w:val="center"/>
              <w:rPr>
                <w:rFonts w:cs="Arial"/>
              </w:rPr>
            </w:pPr>
            <w:r>
              <w:rPr>
                <w:rFonts w:cs="Arial"/>
              </w:rPr>
              <w:t>20,000 lb/year</w:t>
            </w:r>
          </w:p>
        </w:tc>
        <w:tc>
          <w:tcPr>
            <w:tcW w:w="1710" w:type="dxa"/>
            <w:tcBorders>
              <w:top w:val="single" w:sz="12" w:space="0" w:color="auto"/>
              <w:left w:val="single" w:sz="4" w:space="0" w:color="auto"/>
              <w:bottom w:val="single" w:sz="4" w:space="0" w:color="auto"/>
              <w:right w:val="double" w:sz="4" w:space="0" w:color="auto"/>
            </w:tcBorders>
            <w:vAlign w:val="center"/>
          </w:tcPr>
          <w:p w:rsidR="00DB5DB6" w:rsidRDefault="00DB5DB6">
            <w:pPr>
              <w:keepNext/>
              <w:jc w:val="center"/>
              <w:rPr>
                <w:rFonts w:cs="Arial"/>
              </w:rPr>
            </w:pPr>
            <w:r>
              <w:rPr>
                <w:rFonts w:cs="Arial"/>
              </w:rPr>
              <w:t>No</w:t>
            </w:r>
          </w:p>
        </w:tc>
      </w:tr>
      <w:tr w:rsidR="00DB5DB6" w:rsidTr="00D266D5">
        <w:trPr>
          <w:trHeight w:val="300"/>
        </w:trPr>
        <w:tc>
          <w:tcPr>
            <w:tcW w:w="1350" w:type="dxa"/>
            <w:tcBorders>
              <w:top w:val="single" w:sz="4" w:space="0" w:color="auto"/>
              <w:left w:val="double" w:sz="4" w:space="0" w:color="auto"/>
              <w:bottom w:val="single" w:sz="4" w:space="0" w:color="auto"/>
              <w:right w:val="single" w:sz="4" w:space="0" w:color="auto"/>
            </w:tcBorders>
            <w:vAlign w:val="center"/>
          </w:tcPr>
          <w:p w:rsidR="00DB5DB6" w:rsidRDefault="00DB5DB6">
            <w:pPr>
              <w:keepNext/>
              <w:jc w:val="center"/>
            </w:pPr>
            <w:r>
              <w:t>SO</w:t>
            </w:r>
            <w:r>
              <w:rPr>
                <w:vertAlign w:val="subscript"/>
              </w:rPr>
              <w:t>X</w:t>
            </w:r>
          </w:p>
        </w:tc>
        <w:tc>
          <w:tcPr>
            <w:tcW w:w="1800" w:type="dxa"/>
            <w:tcBorders>
              <w:top w:val="single" w:sz="4" w:space="0" w:color="auto"/>
              <w:left w:val="single" w:sz="4" w:space="0" w:color="auto"/>
              <w:bottom w:val="single" w:sz="4" w:space="0" w:color="auto"/>
              <w:right w:val="single" w:sz="4" w:space="0" w:color="auto"/>
            </w:tcBorders>
            <w:vAlign w:val="center"/>
          </w:tcPr>
          <w:p w:rsidR="00DB5DB6" w:rsidRDefault="00DB5DB6">
            <w:pPr>
              <w:keepNext/>
              <w:jc w:val="center"/>
              <w:rPr>
                <w:rFonts w:cs="Arial"/>
              </w:rPr>
            </w:pPr>
            <w:r>
              <w:rPr>
                <w:rFonts w:cs="Arial"/>
              </w:rPr>
              <w:t>0</w:t>
            </w:r>
          </w:p>
        </w:tc>
        <w:tc>
          <w:tcPr>
            <w:tcW w:w="1980" w:type="dxa"/>
            <w:tcBorders>
              <w:top w:val="single" w:sz="4" w:space="0" w:color="auto"/>
              <w:left w:val="single" w:sz="4" w:space="0" w:color="auto"/>
              <w:bottom w:val="single" w:sz="4" w:space="0" w:color="auto"/>
              <w:right w:val="single" w:sz="4" w:space="0" w:color="auto"/>
            </w:tcBorders>
            <w:vAlign w:val="center"/>
          </w:tcPr>
          <w:p w:rsidR="00DB5DB6" w:rsidRDefault="00DB5DB6">
            <w:pPr>
              <w:keepNext/>
              <w:jc w:val="center"/>
              <w:rPr>
                <w:rFonts w:cs="Arial"/>
              </w:rPr>
            </w:pPr>
            <w:r>
              <w:rPr>
                <w:rFonts w:cs="Arial"/>
              </w:rPr>
              <w:t>0</w:t>
            </w:r>
          </w:p>
        </w:tc>
        <w:tc>
          <w:tcPr>
            <w:tcW w:w="1980" w:type="dxa"/>
            <w:tcBorders>
              <w:top w:val="single" w:sz="4" w:space="0" w:color="auto"/>
              <w:left w:val="single" w:sz="4" w:space="0" w:color="auto"/>
              <w:bottom w:val="single" w:sz="4" w:space="0" w:color="auto"/>
              <w:right w:val="single" w:sz="4" w:space="0" w:color="auto"/>
            </w:tcBorders>
            <w:vAlign w:val="center"/>
          </w:tcPr>
          <w:p w:rsidR="00DB5DB6" w:rsidRDefault="00DB5DB6">
            <w:pPr>
              <w:keepNext/>
              <w:jc w:val="center"/>
              <w:rPr>
                <w:rFonts w:cs="Arial"/>
              </w:rPr>
            </w:pPr>
            <w:r>
              <w:rPr>
                <w:rFonts w:cs="Arial"/>
              </w:rPr>
              <w:t>54,750 lb/year</w:t>
            </w:r>
          </w:p>
        </w:tc>
        <w:tc>
          <w:tcPr>
            <w:tcW w:w="1710" w:type="dxa"/>
            <w:tcBorders>
              <w:top w:val="single" w:sz="4" w:space="0" w:color="auto"/>
              <w:left w:val="single" w:sz="4" w:space="0" w:color="auto"/>
              <w:bottom w:val="single" w:sz="4" w:space="0" w:color="auto"/>
              <w:right w:val="double" w:sz="4" w:space="0" w:color="auto"/>
            </w:tcBorders>
            <w:vAlign w:val="center"/>
          </w:tcPr>
          <w:p w:rsidR="00DB5DB6" w:rsidRDefault="00DB5DB6">
            <w:pPr>
              <w:keepNext/>
              <w:jc w:val="center"/>
              <w:rPr>
                <w:rFonts w:cs="Arial"/>
              </w:rPr>
            </w:pPr>
            <w:r>
              <w:rPr>
                <w:rFonts w:cs="Arial"/>
              </w:rPr>
              <w:t>No</w:t>
            </w:r>
          </w:p>
        </w:tc>
      </w:tr>
      <w:tr w:rsidR="00DB5DB6" w:rsidTr="00D266D5">
        <w:trPr>
          <w:trHeight w:val="300"/>
        </w:trPr>
        <w:tc>
          <w:tcPr>
            <w:tcW w:w="1350" w:type="dxa"/>
            <w:tcBorders>
              <w:top w:val="single" w:sz="4" w:space="0" w:color="auto"/>
              <w:left w:val="double" w:sz="4" w:space="0" w:color="auto"/>
              <w:bottom w:val="single" w:sz="4" w:space="0" w:color="auto"/>
              <w:right w:val="single" w:sz="4" w:space="0" w:color="auto"/>
            </w:tcBorders>
            <w:vAlign w:val="center"/>
          </w:tcPr>
          <w:p w:rsidR="00DB5DB6" w:rsidRDefault="00DB5DB6">
            <w:pPr>
              <w:keepNext/>
              <w:jc w:val="center"/>
            </w:pPr>
            <w:r>
              <w:t>PM</w:t>
            </w:r>
            <w:r>
              <w:rPr>
                <w:vertAlign w:val="subscript"/>
              </w:rPr>
              <w:t>10</w:t>
            </w:r>
          </w:p>
        </w:tc>
        <w:tc>
          <w:tcPr>
            <w:tcW w:w="1800" w:type="dxa"/>
            <w:tcBorders>
              <w:top w:val="single" w:sz="4" w:space="0" w:color="auto"/>
              <w:left w:val="single" w:sz="4" w:space="0" w:color="auto"/>
              <w:bottom w:val="single" w:sz="4" w:space="0" w:color="auto"/>
              <w:right w:val="single" w:sz="4" w:space="0" w:color="auto"/>
            </w:tcBorders>
            <w:vAlign w:val="center"/>
          </w:tcPr>
          <w:p w:rsidR="00DB5DB6" w:rsidRDefault="00DB5DB6">
            <w:pPr>
              <w:keepNext/>
              <w:jc w:val="center"/>
              <w:rPr>
                <w:rFonts w:cs="Arial"/>
              </w:rPr>
            </w:pPr>
            <w:r>
              <w:rPr>
                <w:rFonts w:cs="Arial"/>
              </w:rPr>
              <w:t>0</w:t>
            </w:r>
          </w:p>
        </w:tc>
        <w:tc>
          <w:tcPr>
            <w:tcW w:w="1980" w:type="dxa"/>
            <w:tcBorders>
              <w:top w:val="single" w:sz="4" w:space="0" w:color="auto"/>
              <w:left w:val="single" w:sz="4" w:space="0" w:color="auto"/>
              <w:bottom w:val="single" w:sz="4" w:space="0" w:color="auto"/>
              <w:right w:val="single" w:sz="4" w:space="0" w:color="auto"/>
            </w:tcBorders>
            <w:vAlign w:val="center"/>
          </w:tcPr>
          <w:p w:rsidR="00DB5DB6" w:rsidRDefault="00DB5DB6">
            <w:pPr>
              <w:keepNext/>
              <w:jc w:val="center"/>
              <w:rPr>
                <w:rFonts w:cs="Arial"/>
              </w:rPr>
            </w:pPr>
            <w:r>
              <w:rPr>
                <w:rFonts w:cs="Arial"/>
              </w:rPr>
              <w:t>0</w:t>
            </w:r>
          </w:p>
        </w:tc>
        <w:tc>
          <w:tcPr>
            <w:tcW w:w="1980" w:type="dxa"/>
            <w:tcBorders>
              <w:top w:val="single" w:sz="4" w:space="0" w:color="auto"/>
              <w:left w:val="single" w:sz="4" w:space="0" w:color="auto"/>
              <w:bottom w:val="single" w:sz="4" w:space="0" w:color="auto"/>
              <w:right w:val="single" w:sz="4" w:space="0" w:color="auto"/>
            </w:tcBorders>
            <w:vAlign w:val="center"/>
          </w:tcPr>
          <w:p w:rsidR="00DB5DB6" w:rsidRDefault="00DB5DB6">
            <w:pPr>
              <w:keepNext/>
              <w:jc w:val="center"/>
              <w:rPr>
                <w:rFonts w:cs="Arial"/>
              </w:rPr>
            </w:pPr>
            <w:r>
              <w:rPr>
                <w:rFonts w:cs="Arial"/>
              </w:rPr>
              <w:t>29,200 lb/year</w:t>
            </w:r>
          </w:p>
        </w:tc>
        <w:tc>
          <w:tcPr>
            <w:tcW w:w="1710" w:type="dxa"/>
            <w:tcBorders>
              <w:top w:val="single" w:sz="4" w:space="0" w:color="auto"/>
              <w:left w:val="single" w:sz="4" w:space="0" w:color="auto"/>
              <w:bottom w:val="single" w:sz="4" w:space="0" w:color="auto"/>
              <w:right w:val="double" w:sz="4" w:space="0" w:color="auto"/>
            </w:tcBorders>
            <w:vAlign w:val="center"/>
          </w:tcPr>
          <w:p w:rsidR="00DB5DB6" w:rsidRDefault="00DB5DB6">
            <w:pPr>
              <w:keepNext/>
              <w:jc w:val="center"/>
              <w:rPr>
                <w:rFonts w:cs="Arial"/>
              </w:rPr>
            </w:pPr>
            <w:r>
              <w:rPr>
                <w:rFonts w:cs="Arial"/>
              </w:rPr>
              <w:t>No</w:t>
            </w:r>
          </w:p>
        </w:tc>
      </w:tr>
      <w:tr w:rsidR="00DB5DB6" w:rsidTr="00D266D5">
        <w:trPr>
          <w:trHeight w:val="300"/>
        </w:trPr>
        <w:tc>
          <w:tcPr>
            <w:tcW w:w="1350" w:type="dxa"/>
            <w:tcBorders>
              <w:top w:val="single" w:sz="4" w:space="0" w:color="auto"/>
              <w:left w:val="double" w:sz="4" w:space="0" w:color="auto"/>
              <w:bottom w:val="single" w:sz="4" w:space="0" w:color="auto"/>
              <w:right w:val="single" w:sz="4" w:space="0" w:color="auto"/>
            </w:tcBorders>
            <w:vAlign w:val="center"/>
          </w:tcPr>
          <w:p w:rsidR="00DB5DB6" w:rsidRDefault="00DB5DB6">
            <w:pPr>
              <w:keepNext/>
              <w:jc w:val="center"/>
            </w:pPr>
            <w:r>
              <w:t>CO</w:t>
            </w:r>
          </w:p>
        </w:tc>
        <w:tc>
          <w:tcPr>
            <w:tcW w:w="1800" w:type="dxa"/>
            <w:tcBorders>
              <w:top w:val="single" w:sz="4" w:space="0" w:color="auto"/>
              <w:left w:val="single" w:sz="4" w:space="0" w:color="auto"/>
              <w:bottom w:val="single" w:sz="4" w:space="0" w:color="auto"/>
              <w:right w:val="single" w:sz="4" w:space="0" w:color="auto"/>
            </w:tcBorders>
            <w:vAlign w:val="center"/>
          </w:tcPr>
          <w:p w:rsidR="00DB5DB6" w:rsidRDefault="00DB5DB6">
            <w:pPr>
              <w:keepNext/>
              <w:jc w:val="center"/>
              <w:rPr>
                <w:rFonts w:cs="Arial"/>
              </w:rPr>
            </w:pPr>
            <w:r>
              <w:rPr>
                <w:rFonts w:cs="Arial"/>
              </w:rPr>
              <w:t>0</w:t>
            </w:r>
          </w:p>
        </w:tc>
        <w:tc>
          <w:tcPr>
            <w:tcW w:w="1980" w:type="dxa"/>
            <w:tcBorders>
              <w:top w:val="single" w:sz="4" w:space="0" w:color="auto"/>
              <w:left w:val="single" w:sz="4" w:space="0" w:color="auto"/>
              <w:bottom w:val="single" w:sz="4" w:space="0" w:color="auto"/>
              <w:right w:val="single" w:sz="4" w:space="0" w:color="auto"/>
            </w:tcBorders>
            <w:vAlign w:val="center"/>
          </w:tcPr>
          <w:p w:rsidR="00DB5DB6" w:rsidRDefault="00DB5DB6">
            <w:pPr>
              <w:keepNext/>
              <w:jc w:val="center"/>
              <w:rPr>
                <w:rFonts w:cs="Arial"/>
              </w:rPr>
            </w:pPr>
            <w:r>
              <w:rPr>
                <w:rFonts w:cs="Arial"/>
              </w:rPr>
              <w:t>0</w:t>
            </w:r>
          </w:p>
        </w:tc>
        <w:tc>
          <w:tcPr>
            <w:tcW w:w="1980" w:type="dxa"/>
            <w:tcBorders>
              <w:top w:val="single" w:sz="4" w:space="0" w:color="auto"/>
              <w:left w:val="single" w:sz="4" w:space="0" w:color="auto"/>
              <w:bottom w:val="single" w:sz="4" w:space="0" w:color="auto"/>
              <w:right w:val="single" w:sz="4" w:space="0" w:color="auto"/>
            </w:tcBorders>
            <w:vAlign w:val="center"/>
          </w:tcPr>
          <w:p w:rsidR="00DB5DB6" w:rsidRDefault="00DB5DB6">
            <w:pPr>
              <w:keepNext/>
              <w:jc w:val="center"/>
              <w:rPr>
                <w:rFonts w:cs="Arial"/>
              </w:rPr>
            </w:pPr>
            <w:r>
              <w:rPr>
                <w:rFonts w:cs="Arial"/>
              </w:rPr>
              <w:t>200,000 lb/year</w:t>
            </w:r>
          </w:p>
        </w:tc>
        <w:tc>
          <w:tcPr>
            <w:tcW w:w="1710" w:type="dxa"/>
            <w:tcBorders>
              <w:top w:val="single" w:sz="4" w:space="0" w:color="auto"/>
              <w:left w:val="single" w:sz="4" w:space="0" w:color="auto"/>
              <w:bottom w:val="single" w:sz="4" w:space="0" w:color="auto"/>
              <w:right w:val="double" w:sz="4" w:space="0" w:color="auto"/>
            </w:tcBorders>
            <w:vAlign w:val="center"/>
          </w:tcPr>
          <w:p w:rsidR="00DB5DB6" w:rsidRDefault="00DB5DB6">
            <w:pPr>
              <w:keepNext/>
              <w:jc w:val="center"/>
              <w:rPr>
                <w:rFonts w:cs="Arial"/>
              </w:rPr>
            </w:pPr>
            <w:r>
              <w:rPr>
                <w:rFonts w:cs="Arial"/>
              </w:rPr>
              <w:t>No</w:t>
            </w:r>
          </w:p>
        </w:tc>
      </w:tr>
      <w:tr w:rsidR="00DB5DB6" w:rsidTr="00D266D5">
        <w:trPr>
          <w:trHeight w:val="300"/>
        </w:trPr>
        <w:tc>
          <w:tcPr>
            <w:tcW w:w="1350" w:type="dxa"/>
            <w:tcBorders>
              <w:top w:val="single" w:sz="4" w:space="0" w:color="auto"/>
              <w:left w:val="double" w:sz="4" w:space="0" w:color="auto"/>
              <w:bottom w:val="double" w:sz="4" w:space="0" w:color="auto"/>
              <w:right w:val="single" w:sz="4" w:space="0" w:color="auto"/>
            </w:tcBorders>
            <w:vAlign w:val="center"/>
          </w:tcPr>
          <w:p w:rsidR="00DB5DB6" w:rsidRDefault="00DB5DB6">
            <w:pPr>
              <w:keepNext/>
              <w:jc w:val="center"/>
            </w:pPr>
            <w:r>
              <w:t>VOC</w:t>
            </w:r>
          </w:p>
        </w:tc>
        <w:tc>
          <w:tcPr>
            <w:tcW w:w="1800" w:type="dxa"/>
            <w:tcBorders>
              <w:top w:val="single" w:sz="4" w:space="0" w:color="auto"/>
              <w:left w:val="single" w:sz="4" w:space="0" w:color="auto"/>
              <w:bottom w:val="double" w:sz="4" w:space="0" w:color="auto"/>
              <w:right w:val="single" w:sz="4" w:space="0" w:color="auto"/>
            </w:tcBorders>
            <w:vAlign w:val="center"/>
          </w:tcPr>
          <w:p w:rsidR="00DB5DB6" w:rsidRDefault="00DB5DB6">
            <w:pPr>
              <w:keepNext/>
              <w:jc w:val="center"/>
              <w:rPr>
                <w:rFonts w:cs="Arial"/>
              </w:rPr>
            </w:pPr>
            <w:r>
              <w:rPr>
                <w:rFonts w:cs="Arial"/>
              </w:rPr>
              <w:t>0</w:t>
            </w:r>
          </w:p>
        </w:tc>
        <w:tc>
          <w:tcPr>
            <w:tcW w:w="1980" w:type="dxa"/>
            <w:tcBorders>
              <w:top w:val="single" w:sz="4" w:space="0" w:color="auto"/>
              <w:left w:val="single" w:sz="4" w:space="0" w:color="auto"/>
              <w:bottom w:val="double" w:sz="4" w:space="0" w:color="auto"/>
              <w:right w:val="single" w:sz="4" w:space="0" w:color="auto"/>
            </w:tcBorders>
            <w:vAlign w:val="center"/>
          </w:tcPr>
          <w:p w:rsidR="00DB5DB6" w:rsidRDefault="00C33D00">
            <w:pPr>
              <w:keepNext/>
              <w:jc w:val="center"/>
              <w:rPr>
                <w:rFonts w:cs="Arial"/>
              </w:rPr>
            </w:pPr>
            <w:r>
              <w:rPr>
                <w:rFonts w:cs="Arial"/>
              </w:rPr>
              <w:t>8,50</w:t>
            </w:r>
            <w:r w:rsidR="00DB5DB6">
              <w:rPr>
                <w:rFonts w:cs="Arial"/>
              </w:rPr>
              <w:t>0</w:t>
            </w:r>
          </w:p>
        </w:tc>
        <w:tc>
          <w:tcPr>
            <w:tcW w:w="1980" w:type="dxa"/>
            <w:tcBorders>
              <w:top w:val="single" w:sz="4" w:space="0" w:color="auto"/>
              <w:left w:val="single" w:sz="4" w:space="0" w:color="auto"/>
              <w:bottom w:val="double" w:sz="4" w:space="0" w:color="auto"/>
              <w:right w:val="single" w:sz="4" w:space="0" w:color="auto"/>
            </w:tcBorders>
            <w:vAlign w:val="center"/>
          </w:tcPr>
          <w:p w:rsidR="00DB5DB6" w:rsidRDefault="00DB5DB6">
            <w:pPr>
              <w:keepNext/>
              <w:jc w:val="center"/>
              <w:rPr>
                <w:rFonts w:cs="Arial"/>
              </w:rPr>
            </w:pPr>
            <w:r>
              <w:rPr>
                <w:rFonts w:cs="Arial"/>
              </w:rPr>
              <w:t>20,000 lb/year</w:t>
            </w:r>
          </w:p>
        </w:tc>
        <w:tc>
          <w:tcPr>
            <w:tcW w:w="1710" w:type="dxa"/>
            <w:tcBorders>
              <w:top w:val="single" w:sz="4" w:space="0" w:color="auto"/>
              <w:left w:val="single" w:sz="4" w:space="0" w:color="auto"/>
              <w:bottom w:val="double" w:sz="4" w:space="0" w:color="auto"/>
              <w:right w:val="double" w:sz="4" w:space="0" w:color="auto"/>
            </w:tcBorders>
            <w:vAlign w:val="center"/>
          </w:tcPr>
          <w:p w:rsidR="00DB5DB6" w:rsidRDefault="00DB5DB6">
            <w:pPr>
              <w:keepNext/>
              <w:jc w:val="center"/>
              <w:rPr>
                <w:rFonts w:cs="Arial"/>
              </w:rPr>
            </w:pPr>
            <w:r>
              <w:rPr>
                <w:rFonts w:cs="Arial"/>
              </w:rPr>
              <w:t>No</w:t>
            </w:r>
          </w:p>
        </w:tc>
      </w:tr>
    </w:tbl>
    <w:p w:rsidR="00DB5DB6" w:rsidRDefault="00DB5DB6">
      <w:pPr>
        <w:ind w:left="1440"/>
        <w:rPr>
          <w:rFonts w:cs="Arial"/>
        </w:rPr>
      </w:pPr>
    </w:p>
    <w:p w:rsidR="00DB5DB6" w:rsidRDefault="00DB5DB6">
      <w:pPr>
        <w:tabs>
          <w:tab w:val="left" w:pos="1080"/>
        </w:tabs>
        <w:ind w:left="1080"/>
      </w:pPr>
      <w:r>
        <w:t>As detailed above, there were no thresholds surpassed with this project; therefore public noticing is not required for offset purposes.</w:t>
      </w:r>
    </w:p>
    <w:p w:rsidR="00DB5DB6" w:rsidRDefault="00DB5DB6">
      <w:pPr>
        <w:ind w:left="1440"/>
        <w:rPr>
          <w:color w:val="000000"/>
        </w:rPr>
      </w:pPr>
    </w:p>
    <w:p w:rsidR="00DB5DB6" w:rsidRDefault="00DB5DB6">
      <w:pPr>
        <w:tabs>
          <w:tab w:val="left" w:pos="2610"/>
        </w:tabs>
        <w:autoSpaceDE w:val="0"/>
        <w:autoSpaceDN w:val="0"/>
        <w:adjustRightInd w:val="0"/>
        <w:ind w:left="1080"/>
        <w:jc w:val="both"/>
        <w:rPr>
          <w:i/>
          <w:iCs/>
          <w:color w:val="0000FF"/>
        </w:rPr>
      </w:pPr>
      <w:r>
        <w:rPr>
          <w:i/>
          <w:iCs/>
          <w:color w:val="0000FF"/>
          <w:u w:val="single"/>
        </w:rPr>
        <w:t>Example (b)</w:t>
      </w:r>
      <w:r>
        <w:rPr>
          <w:i/>
          <w:iCs/>
          <w:color w:val="0000FF"/>
        </w:rPr>
        <w:t>: (For a project surpassing the offset threshold.)</w:t>
      </w:r>
    </w:p>
    <w:p w:rsidR="00DB5DB6" w:rsidRDefault="00DB5DB6">
      <w:pPr>
        <w:tabs>
          <w:tab w:val="left" w:pos="1080"/>
        </w:tabs>
        <w:ind w:left="1080"/>
      </w:pPr>
      <w:r>
        <w:t>The following table compares the SSPE1 with the SSPE2 in order to determine if any offset thresholds have been surpassed with this project.</w:t>
      </w:r>
    </w:p>
    <w:p w:rsidR="00DB5DB6" w:rsidRDefault="00DB5DB6">
      <w:pPr>
        <w:ind w:left="1440"/>
      </w:pPr>
    </w:p>
    <w:tbl>
      <w:tblPr>
        <w:tblW w:w="8820" w:type="dxa"/>
        <w:tblInd w:w="154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350"/>
        <w:gridCol w:w="1800"/>
        <w:gridCol w:w="1980"/>
        <w:gridCol w:w="1980"/>
        <w:gridCol w:w="1710"/>
      </w:tblGrid>
      <w:tr w:rsidR="00DB5DB6" w:rsidTr="00D917EC">
        <w:trPr>
          <w:cantSplit/>
          <w:trHeight w:val="300"/>
        </w:trPr>
        <w:tc>
          <w:tcPr>
            <w:tcW w:w="8820" w:type="dxa"/>
            <w:gridSpan w:val="5"/>
            <w:tcBorders>
              <w:top w:val="double" w:sz="4" w:space="0" w:color="auto"/>
              <w:left w:val="double" w:sz="4" w:space="0" w:color="auto"/>
              <w:bottom w:val="double" w:sz="4" w:space="0" w:color="auto"/>
              <w:right w:val="double" w:sz="4" w:space="0" w:color="auto"/>
            </w:tcBorders>
            <w:shd w:val="clear" w:color="auto" w:fill="auto"/>
            <w:vAlign w:val="center"/>
          </w:tcPr>
          <w:p w:rsidR="00DB5DB6" w:rsidRDefault="00DB5DB6">
            <w:pPr>
              <w:keepNext/>
              <w:jc w:val="center"/>
              <w:rPr>
                <w:b/>
                <w:bCs/>
              </w:rPr>
            </w:pPr>
            <w:r>
              <w:rPr>
                <w:rFonts w:cs="Arial"/>
                <w:b/>
                <w:bCs/>
              </w:rPr>
              <w:t>Offset Threshold</w:t>
            </w:r>
          </w:p>
        </w:tc>
      </w:tr>
      <w:tr w:rsidR="00DB5DB6" w:rsidTr="00D917EC">
        <w:trPr>
          <w:trHeight w:val="300"/>
        </w:trPr>
        <w:tc>
          <w:tcPr>
            <w:tcW w:w="1350" w:type="dxa"/>
            <w:tcBorders>
              <w:top w:val="double" w:sz="4" w:space="0" w:color="auto"/>
              <w:left w:val="double" w:sz="4" w:space="0" w:color="auto"/>
              <w:bottom w:val="single" w:sz="12" w:space="0" w:color="auto"/>
              <w:right w:val="single" w:sz="4" w:space="0" w:color="auto"/>
            </w:tcBorders>
            <w:shd w:val="clear" w:color="auto" w:fill="auto"/>
            <w:vAlign w:val="center"/>
          </w:tcPr>
          <w:p w:rsidR="00DB5DB6" w:rsidRDefault="00DB5DB6">
            <w:pPr>
              <w:keepNext/>
              <w:jc w:val="center"/>
            </w:pPr>
            <w:r>
              <w:rPr>
                <w:rFonts w:cs="Arial"/>
              </w:rPr>
              <w:t>Pollutant</w:t>
            </w:r>
          </w:p>
        </w:tc>
        <w:tc>
          <w:tcPr>
            <w:tcW w:w="1800" w:type="dxa"/>
            <w:tcBorders>
              <w:top w:val="double" w:sz="4" w:space="0" w:color="auto"/>
              <w:left w:val="single" w:sz="4" w:space="0" w:color="auto"/>
              <w:bottom w:val="single" w:sz="12" w:space="0" w:color="auto"/>
              <w:right w:val="single" w:sz="4" w:space="0" w:color="auto"/>
            </w:tcBorders>
            <w:shd w:val="clear" w:color="auto" w:fill="auto"/>
            <w:vAlign w:val="center"/>
          </w:tcPr>
          <w:p w:rsidR="00DB5DB6" w:rsidRDefault="00DB5DB6">
            <w:pPr>
              <w:keepNext/>
              <w:jc w:val="center"/>
            </w:pPr>
            <w:r>
              <w:t>SSPE1</w:t>
            </w:r>
          </w:p>
          <w:p w:rsidR="00DB5DB6" w:rsidRDefault="00DB5DB6">
            <w:pPr>
              <w:keepNext/>
              <w:ind w:left="432"/>
              <w:rPr>
                <w:rFonts w:cs="Arial"/>
                <w:szCs w:val="24"/>
              </w:rPr>
            </w:pPr>
            <w:r>
              <w:t>(lb/year)</w:t>
            </w:r>
          </w:p>
        </w:tc>
        <w:tc>
          <w:tcPr>
            <w:tcW w:w="1980" w:type="dxa"/>
            <w:tcBorders>
              <w:top w:val="double" w:sz="4" w:space="0" w:color="auto"/>
              <w:left w:val="single" w:sz="4" w:space="0" w:color="auto"/>
              <w:bottom w:val="single" w:sz="12" w:space="0" w:color="auto"/>
              <w:right w:val="single" w:sz="4" w:space="0" w:color="auto"/>
            </w:tcBorders>
            <w:shd w:val="clear" w:color="auto" w:fill="auto"/>
            <w:vAlign w:val="center"/>
          </w:tcPr>
          <w:p w:rsidR="00DB5DB6" w:rsidRDefault="00DB5DB6">
            <w:pPr>
              <w:keepNext/>
              <w:jc w:val="center"/>
            </w:pPr>
            <w:r>
              <w:t>SSPE2</w:t>
            </w:r>
          </w:p>
          <w:p w:rsidR="00DB5DB6" w:rsidRDefault="00DB5DB6">
            <w:pPr>
              <w:keepNext/>
              <w:jc w:val="center"/>
            </w:pPr>
            <w:r>
              <w:t>(lb/year)</w:t>
            </w:r>
          </w:p>
        </w:tc>
        <w:tc>
          <w:tcPr>
            <w:tcW w:w="1980" w:type="dxa"/>
            <w:tcBorders>
              <w:top w:val="double" w:sz="4" w:space="0" w:color="auto"/>
              <w:left w:val="single" w:sz="4" w:space="0" w:color="auto"/>
              <w:bottom w:val="single" w:sz="12" w:space="0" w:color="auto"/>
              <w:right w:val="single" w:sz="4" w:space="0" w:color="auto"/>
            </w:tcBorders>
            <w:shd w:val="clear" w:color="auto" w:fill="auto"/>
            <w:vAlign w:val="center"/>
          </w:tcPr>
          <w:p w:rsidR="00DB5DB6" w:rsidRDefault="00DB5DB6">
            <w:pPr>
              <w:keepNext/>
              <w:jc w:val="center"/>
            </w:pPr>
            <w:r>
              <w:rPr>
                <w:rFonts w:cs="Arial"/>
              </w:rPr>
              <w:t>Offset</w:t>
            </w:r>
          </w:p>
          <w:p w:rsidR="00DB5DB6" w:rsidRDefault="00DB5DB6">
            <w:pPr>
              <w:keepNext/>
              <w:jc w:val="center"/>
            </w:pPr>
            <w:r>
              <w:rPr>
                <w:rFonts w:cs="Arial"/>
              </w:rPr>
              <w:t>Threshold</w:t>
            </w:r>
          </w:p>
        </w:tc>
        <w:tc>
          <w:tcPr>
            <w:tcW w:w="1710" w:type="dxa"/>
            <w:tcBorders>
              <w:top w:val="double" w:sz="4" w:space="0" w:color="auto"/>
              <w:left w:val="single" w:sz="4" w:space="0" w:color="auto"/>
              <w:bottom w:val="single" w:sz="12" w:space="0" w:color="auto"/>
              <w:right w:val="double" w:sz="4" w:space="0" w:color="auto"/>
            </w:tcBorders>
            <w:shd w:val="clear" w:color="auto" w:fill="auto"/>
            <w:vAlign w:val="center"/>
          </w:tcPr>
          <w:p w:rsidR="00DB5DB6" w:rsidRDefault="00DB5DB6">
            <w:pPr>
              <w:keepNext/>
              <w:jc w:val="center"/>
            </w:pPr>
            <w:r>
              <w:rPr>
                <w:rFonts w:cs="Arial"/>
              </w:rPr>
              <w:t>Public Notice Required?</w:t>
            </w:r>
          </w:p>
        </w:tc>
      </w:tr>
      <w:tr w:rsidR="00DB5DB6" w:rsidTr="00D266D5">
        <w:trPr>
          <w:trHeight w:val="300"/>
        </w:trPr>
        <w:tc>
          <w:tcPr>
            <w:tcW w:w="1350" w:type="dxa"/>
            <w:tcBorders>
              <w:top w:val="single" w:sz="12" w:space="0" w:color="auto"/>
              <w:left w:val="double" w:sz="4" w:space="0" w:color="auto"/>
              <w:bottom w:val="single" w:sz="4" w:space="0" w:color="auto"/>
              <w:right w:val="single" w:sz="4" w:space="0" w:color="auto"/>
            </w:tcBorders>
            <w:vAlign w:val="center"/>
          </w:tcPr>
          <w:p w:rsidR="00DB5DB6" w:rsidRDefault="00DB5DB6">
            <w:pPr>
              <w:keepNext/>
              <w:jc w:val="center"/>
            </w:pPr>
            <w:r>
              <w:t>NO</w:t>
            </w:r>
            <w:r>
              <w:rPr>
                <w:vertAlign w:val="subscript"/>
              </w:rPr>
              <w:t>X</w:t>
            </w:r>
          </w:p>
        </w:tc>
        <w:tc>
          <w:tcPr>
            <w:tcW w:w="1800" w:type="dxa"/>
            <w:tcBorders>
              <w:top w:val="single" w:sz="12" w:space="0" w:color="auto"/>
              <w:left w:val="single" w:sz="4" w:space="0" w:color="auto"/>
              <w:bottom w:val="single" w:sz="4" w:space="0" w:color="auto"/>
              <w:right w:val="single" w:sz="4" w:space="0" w:color="auto"/>
            </w:tcBorders>
            <w:vAlign w:val="center"/>
          </w:tcPr>
          <w:p w:rsidR="00DB5DB6" w:rsidRDefault="00790A00">
            <w:pPr>
              <w:keepNext/>
              <w:jc w:val="center"/>
              <w:rPr>
                <w:rFonts w:cs="Arial"/>
              </w:rPr>
            </w:pPr>
            <w:r>
              <w:rPr>
                <w:rFonts w:cs="Arial"/>
              </w:rPr>
              <w:t>0</w:t>
            </w:r>
          </w:p>
        </w:tc>
        <w:tc>
          <w:tcPr>
            <w:tcW w:w="1980" w:type="dxa"/>
            <w:tcBorders>
              <w:top w:val="single" w:sz="12" w:space="0" w:color="auto"/>
              <w:left w:val="single" w:sz="4" w:space="0" w:color="auto"/>
              <w:bottom w:val="single" w:sz="4" w:space="0" w:color="auto"/>
              <w:right w:val="single" w:sz="4" w:space="0" w:color="auto"/>
            </w:tcBorders>
            <w:vAlign w:val="center"/>
          </w:tcPr>
          <w:p w:rsidR="00DB5DB6" w:rsidRDefault="00790A00">
            <w:pPr>
              <w:keepNext/>
              <w:jc w:val="center"/>
              <w:rPr>
                <w:rFonts w:cs="Arial"/>
              </w:rPr>
            </w:pPr>
            <w:r>
              <w:rPr>
                <w:rFonts w:cs="Arial"/>
              </w:rPr>
              <w:t>`0</w:t>
            </w:r>
          </w:p>
        </w:tc>
        <w:tc>
          <w:tcPr>
            <w:tcW w:w="1980" w:type="dxa"/>
            <w:tcBorders>
              <w:top w:val="single" w:sz="12" w:space="0" w:color="auto"/>
              <w:left w:val="single" w:sz="4" w:space="0" w:color="auto"/>
              <w:bottom w:val="single" w:sz="4" w:space="0" w:color="auto"/>
              <w:right w:val="single" w:sz="4" w:space="0" w:color="auto"/>
            </w:tcBorders>
            <w:vAlign w:val="center"/>
          </w:tcPr>
          <w:p w:rsidR="00DB5DB6" w:rsidRDefault="00DB5DB6">
            <w:pPr>
              <w:keepNext/>
              <w:jc w:val="center"/>
              <w:rPr>
                <w:rFonts w:cs="Arial"/>
              </w:rPr>
            </w:pPr>
            <w:r>
              <w:rPr>
                <w:rFonts w:cs="Arial"/>
              </w:rPr>
              <w:t>20,000 lb/year</w:t>
            </w:r>
          </w:p>
        </w:tc>
        <w:tc>
          <w:tcPr>
            <w:tcW w:w="1710" w:type="dxa"/>
            <w:tcBorders>
              <w:top w:val="single" w:sz="12" w:space="0" w:color="auto"/>
              <w:left w:val="single" w:sz="4" w:space="0" w:color="auto"/>
              <w:bottom w:val="single" w:sz="4" w:space="0" w:color="auto"/>
              <w:right w:val="double" w:sz="4" w:space="0" w:color="auto"/>
            </w:tcBorders>
            <w:vAlign w:val="center"/>
          </w:tcPr>
          <w:p w:rsidR="00DB5DB6" w:rsidRDefault="00790A00">
            <w:pPr>
              <w:keepNext/>
              <w:jc w:val="center"/>
              <w:rPr>
                <w:rFonts w:cs="Arial"/>
              </w:rPr>
            </w:pPr>
            <w:r>
              <w:rPr>
                <w:rFonts w:cs="Arial"/>
              </w:rPr>
              <w:t>No</w:t>
            </w:r>
          </w:p>
        </w:tc>
      </w:tr>
      <w:tr w:rsidR="00DB5DB6" w:rsidTr="00D266D5">
        <w:trPr>
          <w:trHeight w:val="300"/>
        </w:trPr>
        <w:tc>
          <w:tcPr>
            <w:tcW w:w="1350" w:type="dxa"/>
            <w:tcBorders>
              <w:top w:val="single" w:sz="4" w:space="0" w:color="auto"/>
              <w:left w:val="double" w:sz="4" w:space="0" w:color="auto"/>
              <w:bottom w:val="single" w:sz="4" w:space="0" w:color="auto"/>
              <w:right w:val="single" w:sz="4" w:space="0" w:color="auto"/>
            </w:tcBorders>
            <w:vAlign w:val="center"/>
          </w:tcPr>
          <w:p w:rsidR="00DB5DB6" w:rsidRDefault="00DB5DB6">
            <w:pPr>
              <w:keepNext/>
              <w:jc w:val="center"/>
            </w:pPr>
            <w:r>
              <w:t>SO</w:t>
            </w:r>
            <w:r>
              <w:rPr>
                <w:vertAlign w:val="subscript"/>
              </w:rPr>
              <w:t>X</w:t>
            </w:r>
          </w:p>
        </w:tc>
        <w:tc>
          <w:tcPr>
            <w:tcW w:w="1800" w:type="dxa"/>
            <w:tcBorders>
              <w:top w:val="single" w:sz="4" w:space="0" w:color="auto"/>
              <w:left w:val="single" w:sz="4" w:space="0" w:color="auto"/>
              <w:bottom w:val="single" w:sz="4" w:space="0" w:color="auto"/>
              <w:right w:val="single" w:sz="4" w:space="0" w:color="auto"/>
            </w:tcBorders>
            <w:vAlign w:val="center"/>
          </w:tcPr>
          <w:p w:rsidR="00DB5DB6" w:rsidRDefault="00790A00">
            <w:pPr>
              <w:keepNext/>
              <w:jc w:val="center"/>
              <w:rPr>
                <w:rFonts w:cs="Arial"/>
              </w:rPr>
            </w:pPr>
            <w:r>
              <w:rPr>
                <w:rFonts w:cs="Arial"/>
              </w:rPr>
              <w:t>0</w:t>
            </w:r>
          </w:p>
        </w:tc>
        <w:tc>
          <w:tcPr>
            <w:tcW w:w="1980" w:type="dxa"/>
            <w:tcBorders>
              <w:top w:val="single" w:sz="4" w:space="0" w:color="auto"/>
              <w:left w:val="single" w:sz="4" w:space="0" w:color="auto"/>
              <w:bottom w:val="single" w:sz="4" w:space="0" w:color="auto"/>
              <w:right w:val="single" w:sz="4" w:space="0" w:color="auto"/>
            </w:tcBorders>
            <w:vAlign w:val="center"/>
          </w:tcPr>
          <w:p w:rsidR="00DB5DB6" w:rsidRDefault="00790A00">
            <w:pPr>
              <w:keepNext/>
              <w:jc w:val="center"/>
              <w:rPr>
                <w:rFonts w:cs="Arial"/>
              </w:rPr>
            </w:pPr>
            <w:r>
              <w:rPr>
                <w:rFonts w:cs="Arial"/>
              </w:rPr>
              <w:t>0</w:t>
            </w:r>
          </w:p>
        </w:tc>
        <w:tc>
          <w:tcPr>
            <w:tcW w:w="1980" w:type="dxa"/>
            <w:tcBorders>
              <w:top w:val="single" w:sz="4" w:space="0" w:color="auto"/>
              <w:left w:val="single" w:sz="4" w:space="0" w:color="auto"/>
              <w:bottom w:val="single" w:sz="4" w:space="0" w:color="auto"/>
              <w:right w:val="single" w:sz="4" w:space="0" w:color="auto"/>
            </w:tcBorders>
            <w:vAlign w:val="center"/>
          </w:tcPr>
          <w:p w:rsidR="00DB5DB6" w:rsidRDefault="00DB5DB6">
            <w:pPr>
              <w:keepNext/>
              <w:jc w:val="center"/>
              <w:rPr>
                <w:rFonts w:cs="Arial"/>
              </w:rPr>
            </w:pPr>
            <w:r>
              <w:rPr>
                <w:rFonts w:cs="Arial"/>
              </w:rPr>
              <w:t>54,750 lb/year</w:t>
            </w:r>
          </w:p>
        </w:tc>
        <w:tc>
          <w:tcPr>
            <w:tcW w:w="1710" w:type="dxa"/>
            <w:tcBorders>
              <w:top w:val="single" w:sz="4" w:space="0" w:color="auto"/>
              <w:left w:val="single" w:sz="4" w:space="0" w:color="auto"/>
              <w:bottom w:val="single" w:sz="4" w:space="0" w:color="auto"/>
              <w:right w:val="double" w:sz="4" w:space="0" w:color="auto"/>
            </w:tcBorders>
            <w:vAlign w:val="center"/>
          </w:tcPr>
          <w:p w:rsidR="00DB5DB6" w:rsidRDefault="00DB5DB6">
            <w:pPr>
              <w:keepNext/>
              <w:jc w:val="center"/>
              <w:rPr>
                <w:rFonts w:cs="Arial"/>
              </w:rPr>
            </w:pPr>
            <w:r>
              <w:rPr>
                <w:rFonts w:cs="Arial"/>
              </w:rPr>
              <w:t>No</w:t>
            </w:r>
          </w:p>
        </w:tc>
      </w:tr>
      <w:tr w:rsidR="00DB5DB6" w:rsidTr="00D266D5">
        <w:trPr>
          <w:trHeight w:val="300"/>
        </w:trPr>
        <w:tc>
          <w:tcPr>
            <w:tcW w:w="1350" w:type="dxa"/>
            <w:tcBorders>
              <w:top w:val="single" w:sz="4" w:space="0" w:color="auto"/>
              <w:left w:val="double" w:sz="4" w:space="0" w:color="auto"/>
              <w:bottom w:val="single" w:sz="4" w:space="0" w:color="auto"/>
              <w:right w:val="single" w:sz="4" w:space="0" w:color="auto"/>
            </w:tcBorders>
            <w:vAlign w:val="center"/>
          </w:tcPr>
          <w:p w:rsidR="00DB5DB6" w:rsidRDefault="00DB5DB6">
            <w:pPr>
              <w:keepNext/>
              <w:jc w:val="center"/>
            </w:pPr>
            <w:r>
              <w:t>PM</w:t>
            </w:r>
            <w:r>
              <w:rPr>
                <w:vertAlign w:val="subscript"/>
              </w:rPr>
              <w:t>10</w:t>
            </w:r>
          </w:p>
        </w:tc>
        <w:tc>
          <w:tcPr>
            <w:tcW w:w="1800" w:type="dxa"/>
            <w:tcBorders>
              <w:top w:val="single" w:sz="4" w:space="0" w:color="auto"/>
              <w:left w:val="single" w:sz="4" w:space="0" w:color="auto"/>
              <w:bottom w:val="single" w:sz="4" w:space="0" w:color="auto"/>
              <w:right w:val="single" w:sz="4" w:space="0" w:color="auto"/>
            </w:tcBorders>
            <w:vAlign w:val="center"/>
          </w:tcPr>
          <w:p w:rsidR="00DB5DB6" w:rsidRDefault="00790A00">
            <w:pPr>
              <w:keepNext/>
              <w:jc w:val="center"/>
              <w:rPr>
                <w:rFonts w:cs="Arial"/>
              </w:rPr>
            </w:pPr>
            <w:r>
              <w:rPr>
                <w:rFonts w:cs="Arial"/>
              </w:rPr>
              <w:t>0</w:t>
            </w:r>
          </w:p>
        </w:tc>
        <w:tc>
          <w:tcPr>
            <w:tcW w:w="1980" w:type="dxa"/>
            <w:tcBorders>
              <w:top w:val="single" w:sz="4" w:space="0" w:color="auto"/>
              <w:left w:val="single" w:sz="4" w:space="0" w:color="auto"/>
              <w:bottom w:val="single" w:sz="4" w:space="0" w:color="auto"/>
              <w:right w:val="single" w:sz="4" w:space="0" w:color="auto"/>
            </w:tcBorders>
            <w:vAlign w:val="center"/>
          </w:tcPr>
          <w:p w:rsidR="00DB5DB6" w:rsidRDefault="00790A00">
            <w:pPr>
              <w:keepNext/>
              <w:jc w:val="center"/>
              <w:rPr>
                <w:rFonts w:cs="Arial"/>
              </w:rPr>
            </w:pPr>
            <w:r>
              <w:rPr>
                <w:rFonts w:cs="Arial"/>
              </w:rPr>
              <w:t>0</w:t>
            </w:r>
          </w:p>
        </w:tc>
        <w:tc>
          <w:tcPr>
            <w:tcW w:w="1980" w:type="dxa"/>
            <w:tcBorders>
              <w:top w:val="single" w:sz="4" w:space="0" w:color="auto"/>
              <w:left w:val="single" w:sz="4" w:space="0" w:color="auto"/>
              <w:bottom w:val="single" w:sz="4" w:space="0" w:color="auto"/>
              <w:right w:val="single" w:sz="4" w:space="0" w:color="auto"/>
            </w:tcBorders>
            <w:vAlign w:val="center"/>
          </w:tcPr>
          <w:p w:rsidR="00DB5DB6" w:rsidRDefault="00DB5DB6">
            <w:pPr>
              <w:keepNext/>
              <w:jc w:val="center"/>
              <w:rPr>
                <w:rFonts w:cs="Arial"/>
              </w:rPr>
            </w:pPr>
            <w:r>
              <w:rPr>
                <w:rFonts w:cs="Arial"/>
              </w:rPr>
              <w:t>29,200 lb/year</w:t>
            </w:r>
          </w:p>
        </w:tc>
        <w:tc>
          <w:tcPr>
            <w:tcW w:w="1710" w:type="dxa"/>
            <w:tcBorders>
              <w:top w:val="single" w:sz="4" w:space="0" w:color="auto"/>
              <w:left w:val="single" w:sz="4" w:space="0" w:color="auto"/>
              <w:bottom w:val="single" w:sz="4" w:space="0" w:color="auto"/>
              <w:right w:val="double" w:sz="4" w:space="0" w:color="auto"/>
            </w:tcBorders>
            <w:vAlign w:val="center"/>
          </w:tcPr>
          <w:p w:rsidR="00DB5DB6" w:rsidRDefault="00DB5DB6">
            <w:pPr>
              <w:keepNext/>
              <w:jc w:val="center"/>
              <w:rPr>
                <w:rFonts w:cs="Arial"/>
              </w:rPr>
            </w:pPr>
            <w:r>
              <w:rPr>
                <w:rFonts w:cs="Arial"/>
              </w:rPr>
              <w:t>No</w:t>
            </w:r>
          </w:p>
        </w:tc>
      </w:tr>
      <w:tr w:rsidR="00DB5DB6" w:rsidTr="00D266D5">
        <w:trPr>
          <w:trHeight w:val="300"/>
        </w:trPr>
        <w:tc>
          <w:tcPr>
            <w:tcW w:w="1350" w:type="dxa"/>
            <w:tcBorders>
              <w:top w:val="single" w:sz="4" w:space="0" w:color="auto"/>
              <w:left w:val="double" w:sz="4" w:space="0" w:color="auto"/>
              <w:bottom w:val="single" w:sz="4" w:space="0" w:color="auto"/>
              <w:right w:val="single" w:sz="4" w:space="0" w:color="auto"/>
            </w:tcBorders>
            <w:vAlign w:val="center"/>
          </w:tcPr>
          <w:p w:rsidR="00DB5DB6" w:rsidRDefault="00DB5DB6">
            <w:pPr>
              <w:keepNext/>
              <w:jc w:val="center"/>
            </w:pPr>
            <w:r>
              <w:t>CO</w:t>
            </w:r>
          </w:p>
        </w:tc>
        <w:tc>
          <w:tcPr>
            <w:tcW w:w="1800" w:type="dxa"/>
            <w:tcBorders>
              <w:top w:val="single" w:sz="4" w:space="0" w:color="auto"/>
              <w:left w:val="single" w:sz="4" w:space="0" w:color="auto"/>
              <w:bottom w:val="single" w:sz="4" w:space="0" w:color="auto"/>
              <w:right w:val="single" w:sz="4" w:space="0" w:color="auto"/>
            </w:tcBorders>
            <w:vAlign w:val="center"/>
          </w:tcPr>
          <w:p w:rsidR="00DB5DB6" w:rsidRDefault="00790A00">
            <w:pPr>
              <w:keepNext/>
              <w:jc w:val="center"/>
              <w:rPr>
                <w:rFonts w:cs="Arial"/>
              </w:rPr>
            </w:pPr>
            <w:r>
              <w:rPr>
                <w:rFonts w:cs="Arial"/>
              </w:rPr>
              <w:t>0</w:t>
            </w:r>
          </w:p>
        </w:tc>
        <w:tc>
          <w:tcPr>
            <w:tcW w:w="1980" w:type="dxa"/>
            <w:tcBorders>
              <w:top w:val="single" w:sz="4" w:space="0" w:color="auto"/>
              <w:left w:val="single" w:sz="4" w:space="0" w:color="auto"/>
              <w:bottom w:val="single" w:sz="4" w:space="0" w:color="auto"/>
              <w:right w:val="single" w:sz="4" w:space="0" w:color="auto"/>
            </w:tcBorders>
            <w:vAlign w:val="center"/>
          </w:tcPr>
          <w:p w:rsidR="00DB5DB6" w:rsidRDefault="00790A00">
            <w:pPr>
              <w:keepNext/>
              <w:jc w:val="center"/>
              <w:rPr>
                <w:rFonts w:cs="Arial"/>
              </w:rPr>
            </w:pPr>
            <w:r>
              <w:rPr>
                <w:rFonts w:cs="Arial"/>
              </w:rPr>
              <w:t>0</w:t>
            </w:r>
          </w:p>
        </w:tc>
        <w:tc>
          <w:tcPr>
            <w:tcW w:w="1980" w:type="dxa"/>
            <w:tcBorders>
              <w:top w:val="single" w:sz="4" w:space="0" w:color="auto"/>
              <w:left w:val="single" w:sz="4" w:space="0" w:color="auto"/>
              <w:bottom w:val="single" w:sz="4" w:space="0" w:color="auto"/>
              <w:right w:val="single" w:sz="4" w:space="0" w:color="auto"/>
            </w:tcBorders>
            <w:vAlign w:val="center"/>
          </w:tcPr>
          <w:p w:rsidR="00DB5DB6" w:rsidRDefault="00DB5DB6">
            <w:pPr>
              <w:keepNext/>
              <w:jc w:val="center"/>
              <w:rPr>
                <w:rFonts w:cs="Arial"/>
              </w:rPr>
            </w:pPr>
            <w:r>
              <w:rPr>
                <w:rFonts w:cs="Arial"/>
              </w:rPr>
              <w:t>200,000 lb/year</w:t>
            </w:r>
          </w:p>
        </w:tc>
        <w:tc>
          <w:tcPr>
            <w:tcW w:w="1710" w:type="dxa"/>
            <w:tcBorders>
              <w:top w:val="single" w:sz="4" w:space="0" w:color="auto"/>
              <w:left w:val="single" w:sz="4" w:space="0" w:color="auto"/>
              <w:bottom w:val="single" w:sz="4" w:space="0" w:color="auto"/>
              <w:right w:val="double" w:sz="4" w:space="0" w:color="auto"/>
            </w:tcBorders>
            <w:vAlign w:val="center"/>
          </w:tcPr>
          <w:p w:rsidR="00DB5DB6" w:rsidRDefault="00DB5DB6">
            <w:pPr>
              <w:keepNext/>
              <w:jc w:val="center"/>
              <w:rPr>
                <w:rFonts w:cs="Arial"/>
              </w:rPr>
            </w:pPr>
            <w:r>
              <w:rPr>
                <w:rFonts w:cs="Arial"/>
              </w:rPr>
              <w:t>No</w:t>
            </w:r>
          </w:p>
        </w:tc>
      </w:tr>
      <w:tr w:rsidR="00DB5DB6" w:rsidTr="00D266D5">
        <w:trPr>
          <w:trHeight w:val="300"/>
        </w:trPr>
        <w:tc>
          <w:tcPr>
            <w:tcW w:w="1350" w:type="dxa"/>
            <w:tcBorders>
              <w:top w:val="single" w:sz="4" w:space="0" w:color="auto"/>
              <w:left w:val="double" w:sz="4" w:space="0" w:color="auto"/>
              <w:bottom w:val="double" w:sz="4" w:space="0" w:color="auto"/>
              <w:right w:val="single" w:sz="4" w:space="0" w:color="auto"/>
            </w:tcBorders>
            <w:vAlign w:val="center"/>
          </w:tcPr>
          <w:p w:rsidR="00DB5DB6" w:rsidRDefault="00DB5DB6">
            <w:pPr>
              <w:keepNext/>
              <w:jc w:val="center"/>
            </w:pPr>
            <w:r>
              <w:t>VOC</w:t>
            </w:r>
          </w:p>
        </w:tc>
        <w:tc>
          <w:tcPr>
            <w:tcW w:w="1800" w:type="dxa"/>
            <w:tcBorders>
              <w:top w:val="single" w:sz="4" w:space="0" w:color="auto"/>
              <w:left w:val="single" w:sz="4" w:space="0" w:color="auto"/>
              <w:bottom w:val="double" w:sz="4" w:space="0" w:color="auto"/>
              <w:right w:val="single" w:sz="4" w:space="0" w:color="auto"/>
            </w:tcBorders>
            <w:vAlign w:val="center"/>
          </w:tcPr>
          <w:p w:rsidR="00DB5DB6" w:rsidRDefault="00790A00">
            <w:pPr>
              <w:keepNext/>
              <w:jc w:val="center"/>
              <w:rPr>
                <w:rFonts w:cs="Arial"/>
              </w:rPr>
            </w:pPr>
            <w:r>
              <w:rPr>
                <w:rFonts w:cs="Arial"/>
              </w:rPr>
              <w:t>0</w:t>
            </w:r>
          </w:p>
        </w:tc>
        <w:tc>
          <w:tcPr>
            <w:tcW w:w="1980" w:type="dxa"/>
            <w:tcBorders>
              <w:top w:val="single" w:sz="4" w:space="0" w:color="auto"/>
              <w:left w:val="single" w:sz="4" w:space="0" w:color="auto"/>
              <w:bottom w:val="double" w:sz="4" w:space="0" w:color="auto"/>
              <w:right w:val="single" w:sz="4" w:space="0" w:color="auto"/>
            </w:tcBorders>
            <w:vAlign w:val="center"/>
          </w:tcPr>
          <w:p w:rsidR="00DB5DB6" w:rsidRDefault="00C33D00">
            <w:pPr>
              <w:keepNext/>
              <w:jc w:val="center"/>
              <w:rPr>
                <w:rFonts w:cs="Arial"/>
              </w:rPr>
            </w:pPr>
            <w:r>
              <w:rPr>
                <w:rFonts w:cs="Arial"/>
              </w:rPr>
              <w:t>22,00</w:t>
            </w:r>
            <w:r w:rsidR="00790A00">
              <w:rPr>
                <w:rFonts w:cs="Arial"/>
              </w:rPr>
              <w:t>0</w:t>
            </w:r>
          </w:p>
        </w:tc>
        <w:tc>
          <w:tcPr>
            <w:tcW w:w="1980" w:type="dxa"/>
            <w:tcBorders>
              <w:top w:val="single" w:sz="4" w:space="0" w:color="auto"/>
              <w:left w:val="single" w:sz="4" w:space="0" w:color="auto"/>
              <w:bottom w:val="double" w:sz="4" w:space="0" w:color="auto"/>
              <w:right w:val="single" w:sz="4" w:space="0" w:color="auto"/>
            </w:tcBorders>
            <w:vAlign w:val="center"/>
          </w:tcPr>
          <w:p w:rsidR="00DB5DB6" w:rsidRDefault="00DB5DB6">
            <w:pPr>
              <w:keepNext/>
              <w:jc w:val="center"/>
              <w:rPr>
                <w:rFonts w:cs="Arial"/>
              </w:rPr>
            </w:pPr>
            <w:r>
              <w:rPr>
                <w:rFonts w:cs="Arial"/>
              </w:rPr>
              <w:t>20,000 lb/year</w:t>
            </w:r>
          </w:p>
        </w:tc>
        <w:tc>
          <w:tcPr>
            <w:tcW w:w="1710" w:type="dxa"/>
            <w:tcBorders>
              <w:top w:val="single" w:sz="4" w:space="0" w:color="auto"/>
              <w:left w:val="single" w:sz="4" w:space="0" w:color="auto"/>
              <w:bottom w:val="double" w:sz="4" w:space="0" w:color="auto"/>
              <w:right w:val="double" w:sz="4" w:space="0" w:color="auto"/>
            </w:tcBorders>
            <w:vAlign w:val="center"/>
          </w:tcPr>
          <w:p w:rsidR="00DB5DB6" w:rsidRDefault="00C33D00">
            <w:pPr>
              <w:keepNext/>
              <w:jc w:val="center"/>
              <w:rPr>
                <w:rFonts w:cs="Arial"/>
              </w:rPr>
            </w:pPr>
            <w:r>
              <w:rPr>
                <w:rFonts w:cs="Arial"/>
              </w:rPr>
              <w:t>Yes</w:t>
            </w:r>
          </w:p>
        </w:tc>
      </w:tr>
    </w:tbl>
    <w:p w:rsidR="00DB5DB6" w:rsidRDefault="00DB5DB6">
      <w:pPr>
        <w:ind w:left="1440"/>
        <w:rPr>
          <w:rFonts w:cs="Arial"/>
        </w:rPr>
      </w:pPr>
    </w:p>
    <w:p w:rsidR="00DB5DB6" w:rsidRDefault="00DB5DB6">
      <w:pPr>
        <w:tabs>
          <w:tab w:val="left" w:pos="1080"/>
        </w:tabs>
        <w:ind w:left="1080"/>
      </w:pPr>
      <w:r>
        <w:t xml:space="preserve">As detailed above, offset thresholds were surpassed for </w:t>
      </w:r>
      <w:r w:rsidR="00C33D00">
        <w:t>VOC</w:t>
      </w:r>
      <w:r>
        <w:t xml:space="preserve"> with this project; therefore public noticing is required for offset purposes.</w:t>
      </w:r>
      <w:r w:rsidR="00C33D00">
        <w:rPr>
          <w:i/>
          <w:iCs/>
          <w:color w:val="0000FF"/>
        </w:rPr>
        <w:t xml:space="preserve"> </w:t>
      </w:r>
      <w:r w:rsidR="00C33D00">
        <w:rPr>
          <w:i/>
          <w:iCs/>
          <w:color w:val="FF0000"/>
        </w:rPr>
        <w:t>(If this is true, this project is NO LONGER A GEAR. Check with your supervisor before further processing.)</w:t>
      </w:r>
    </w:p>
    <w:p w:rsidR="00DB5DB6" w:rsidRDefault="00DB5DB6">
      <w:pPr>
        <w:ind w:left="720"/>
        <w:rPr>
          <w:color w:val="000000"/>
        </w:rPr>
      </w:pPr>
    </w:p>
    <w:p w:rsidR="00DB5DB6" w:rsidRDefault="00DB5DB6">
      <w:pPr>
        <w:ind w:left="1080"/>
        <w:rPr>
          <w:i/>
          <w:iCs/>
          <w:color w:val="FF0000"/>
        </w:rPr>
      </w:pPr>
      <w:r>
        <w:rPr>
          <w:i/>
          <w:iCs/>
          <w:color w:val="FF0000"/>
        </w:rPr>
        <w:t>(</w:t>
      </w:r>
      <w:r>
        <w:rPr>
          <w:i/>
          <w:iCs/>
          <w:color w:val="FF0000"/>
          <w:u w:val="single"/>
        </w:rPr>
        <w:t>Note</w:t>
      </w:r>
      <w:r>
        <w:rPr>
          <w:i/>
          <w:iCs/>
          <w:color w:val="FF0000"/>
        </w:rPr>
        <w:t>: Public notification is independent of whether or not Offsets are required.  For example, if this project involves the installation of emergency (offset-exempt) equipment and the offset threshold is surpassed, then public notification would still be triggered.  And conversely, if this project involves the installation of new equipment which required offsets; however, the SSPE1 was already greater than the offset threshold, public notification would not be triggered.)</w:t>
      </w:r>
    </w:p>
    <w:p w:rsidR="00DB5DB6" w:rsidRDefault="00DB5DB6">
      <w:pPr>
        <w:ind w:left="1440"/>
        <w:rPr>
          <w:color w:val="000000"/>
        </w:rPr>
      </w:pPr>
    </w:p>
    <w:p w:rsidR="00DB5DB6" w:rsidRDefault="00DB5DB6">
      <w:pPr>
        <w:pStyle w:val="Heading4"/>
        <w:rPr>
          <w:rFonts w:cs="Arial"/>
          <w:spacing w:val="-3"/>
        </w:rPr>
      </w:pPr>
      <w:r>
        <w:t>SSIPE &gt; 20,000 lb/year</w:t>
      </w:r>
    </w:p>
    <w:p w:rsidR="00DB5DB6" w:rsidRDefault="00DB5DB6">
      <w:pPr>
        <w:ind w:left="1440"/>
        <w:rPr>
          <w:rFonts w:cs="Arial"/>
          <w:color w:val="000000"/>
          <w:spacing w:val="-3"/>
        </w:rPr>
      </w:pPr>
    </w:p>
    <w:p w:rsidR="00DB5DB6" w:rsidRDefault="00DB5DB6">
      <w:pPr>
        <w:ind w:left="1080"/>
        <w:rPr>
          <w:rFonts w:cs="Arial"/>
          <w:color w:val="800000"/>
          <w:spacing w:val="-3"/>
        </w:rPr>
      </w:pPr>
      <w:r>
        <w:rPr>
          <w:rFonts w:cs="Arial"/>
          <w:color w:val="800000"/>
          <w:spacing w:val="-3"/>
        </w:rPr>
        <w:t>An SSIPE exceeding 20,000 pounds per year for any one pollutant triggers public notice.</w:t>
      </w:r>
    </w:p>
    <w:p w:rsidR="00DB5DB6" w:rsidRDefault="00DB5DB6">
      <w:pPr>
        <w:ind w:left="1080"/>
        <w:rPr>
          <w:rFonts w:cs="Arial"/>
          <w:color w:val="000000"/>
          <w:spacing w:val="-3"/>
        </w:rPr>
      </w:pPr>
    </w:p>
    <w:p w:rsidR="00DB5DB6" w:rsidRDefault="00DB5DB6">
      <w:pPr>
        <w:tabs>
          <w:tab w:val="left" w:pos="2250"/>
        </w:tabs>
        <w:autoSpaceDE w:val="0"/>
        <w:autoSpaceDN w:val="0"/>
        <w:adjustRightInd w:val="0"/>
        <w:ind w:left="1080"/>
        <w:rPr>
          <w:color w:val="000000"/>
        </w:rPr>
      </w:pPr>
      <w:r>
        <w:t xml:space="preserve">Public notification is required for any permitting action that results in a Stationary Source Increase in Permitted Emissions (SSIPE) of more than 20,000 lb/year of any affected pollutant.  According to District policy, the SSIPE is calculated as the Post </w:t>
      </w:r>
      <w:r>
        <w:lastRenderedPageBreak/>
        <w:t xml:space="preserve">Project Stationary Source Potential to Emit (SSPE2) minus the Pre-Project Stationary Source Potential to Emit (SSPE1), i.e. SSIPE = SSPE2 – SSPE1.  </w:t>
      </w:r>
      <w:r>
        <w:rPr>
          <w:rFonts w:cs="Arial"/>
          <w:spacing w:val="-3"/>
        </w:rPr>
        <w:t>The values for SSPE2 and SSPE1 are calculated according to Rule 2201, Sections 4.9 and 4.10, respectively.</w:t>
      </w:r>
      <w:r>
        <w:rPr>
          <w:color w:val="000000"/>
        </w:rPr>
        <w:t xml:space="preserve">  The SSIPE is compared to the SSIPE Public Notice thresholds in the following table:</w:t>
      </w:r>
    </w:p>
    <w:p w:rsidR="00DB5DB6" w:rsidRDefault="00DB5DB6">
      <w:pPr>
        <w:tabs>
          <w:tab w:val="left" w:pos="2250"/>
        </w:tabs>
        <w:autoSpaceDE w:val="0"/>
        <w:autoSpaceDN w:val="0"/>
        <w:adjustRightInd w:val="0"/>
        <w:ind w:left="1440"/>
      </w:pPr>
    </w:p>
    <w:p w:rsidR="00DB5DB6" w:rsidRDefault="00DB5DB6">
      <w:pPr>
        <w:ind w:left="1440"/>
        <w:rPr>
          <w:rFonts w:cs="Arial"/>
          <w:color w:val="0000FF"/>
          <w:spacing w:val="-3"/>
        </w:rPr>
      </w:pPr>
      <w:r>
        <w:rPr>
          <w:i/>
          <w:iCs/>
          <w:color w:val="0000FF"/>
          <w:u w:val="single"/>
        </w:rPr>
        <w:t>Example (a)</w:t>
      </w:r>
      <w:r>
        <w:rPr>
          <w:i/>
          <w:iCs/>
          <w:color w:val="0000FF"/>
        </w:rPr>
        <w:t>:</w:t>
      </w:r>
      <w:r>
        <w:rPr>
          <w:i/>
          <w:iCs/>
          <w:color w:val="0000FF"/>
        </w:rPr>
        <w:tab/>
        <w:t xml:space="preserve">(For a project where the SSIPE </w:t>
      </w:r>
      <w:r>
        <w:rPr>
          <w:i/>
          <w:iCs/>
          <w:color w:val="0000FF"/>
        </w:rPr>
        <w:sym w:font="Symbol" w:char="F0A3"/>
      </w:r>
      <w:r>
        <w:rPr>
          <w:i/>
          <w:iCs/>
          <w:color w:val="0000FF"/>
        </w:rPr>
        <w:t xml:space="preserve"> 20,000 lb/year.)</w:t>
      </w:r>
    </w:p>
    <w:tbl>
      <w:tblPr>
        <w:tblW w:w="8910" w:type="dxa"/>
        <w:tblInd w:w="1562" w:type="dxa"/>
        <w:tblLayout w:type="fixed"/>
        <w:tblCellMar>
          <w:left w:w="122" w:type="dxa"/>
          <w:right w:w="122" w:type="dxa"/>
        </w:tblCellMar>
        <w:tblLook w:val="0000" w:firstRow="0" w:lastRow="0" w:firstColumn="0" w:lastColumn="0" w:noHBand="0" w:noVBand="0"/>
      </w:tblPr>
      <w:tblGrid>
        <w:gridCol w:w="1350"/>
        <w:gridCol w:w="1260"/>
        <w:gridCol w:w="1170"/>
        <w:gridCol w:w="1350"/>
        <w:gridCol w:w="2160"/>
        <w:gridCol w:w="1620"/>
      </w:tblGrid>
      <w:tr w:rsidR="00DB5DB6" w:rsidTr="00D917EC">
        <w:trPr>
          <w:cantSplit/>
        </w:trPr>
        <w:tc>
          <w:tcPr>
            <w:tcW w:w="8910" w:type="dxa"/>
            <w:gridSpan w:val="6"/>
            <w:tcBorders>
              <w:top w:val="double" w:sz="6" w:space="0" w:color="auto"/>
              <w:left w:val="double" w:sz="6" w:space="0" w:color="auto"/>
              <w:right w:val="double" w:sz="6" w:space="0" w:color="auto"/>
            </w:tcBorders>
            <w:shd w:val="clear" w:color="auto" w:fill="auto"/>
          </w:tcPr>
          <w:p w:rsidR="00DB5DB6" w:rsidRDefault="00DB5DB6">
            <w:pPr>
              <w:jc w:val="center"/>
              <w:rPr>
                <w:b/>
                <w:bCs/>
              </w:rPr>
            </w:pPr>
            <w:r>
              <w:rPr>
                <w:b/>
                <w:bCs/>
              </w:rPr>
              <w:t>Stationary Source Increase in Permitted Emissions [SSIPE] – Public Notice</w:t>
            </w:r>
          </w:p>
        </w:tc>
      </w:tr>
      <w:tr w:rsidR="00DB5DB6" w:rsidTr="00D917EC">
        <w:tc>
          <w:tcPr>
            <w:tcW w:w="1350" w:type="dxa"/>
            <w:tcBorders>
              <w:top w:val="double" w:sz="6" w:space="0" w:color="auto"/>
              <w:left w:val="double" w:sz="6" w:space="0" w:color="auto"/>
            </w:tcBorders>
            <w:shd w:val="clear" w:color="auto" w:fill="auto"/>
            <w:vAlign w:val="center"/>
          </w:tcPr>
          <w:p w:rsidR="00DB5DB6" w:rsidRDefault="00DB5DB6">
            <w:pPr>
              <w:suppressAutoHyphens/>
              <w:jc w:val="center"/>
              <w:rPr>
                <w:spacing w:val="-3"/>
              </w:rPr>
            </w:pPr>
            <w:r>
              <w:rPr>
                <w:spacing w:val="-3"/>
              </w:rPr>
              <w:t>Pollutant</w:t>
            </w:r>
          </w:p>
        </w:tc>
        <w:tc>
          <w:tcPr>
            <w:tcW w:w="1260" w:type="dxa"/>
            <w:tcBorders>
              <w:top w:val="double" w:sz="6" w:space="0" w:color="auto"/>
              <w:left w:val="single" w:sz="6" w:space="0" w:color="auto"/>
            </w:tcBorders>
            <w:shd w:val="clear" w:color="auto" w:fill="auto"/>
            <w:vAlign w:val="center"/>
          </w:tcPr>
          <w:p w:rsidR="00DB5DB6" w:rsidRDefault="00DB5DB6">
            <w:pPr>
              <w:suppressAutoHyphens/>
              <w:jc w:val="center"/>
              <w:rPr>
                <w:spacing w:val="-3"/>
              </w:rPr>
            </w:pPr>
            <w:r>
              <w:rPr>
                <w:spacing w:val="-3"/>
              </w:rPr>
              <w:t>SSPE2 (lb/year)</w:t>
            </w:r>
          </w:p>
        </w:tc>
        <w:tc>
          <w:tcPr>
            <w:tcW w:w="1170" w:type="dxa"/>
            <w:tcBorders>
              <w:top w:val="double" w:sz="6" w:space="0" w:color="auto"/>
              <w:left w:val="single" w:sz="6" w:space="0" w:color="auto"/>
              <w:right w:val="single" w:sz="6" w:space="0" w:color="auto"/>
            </w:tcBorders>
            <w:shd w:val="clear" w:color="auto" w:fill="auto"/>
            <w:vAlign w:val="center"/>
          </w:tcPr>
          <w:p w:rsidR="00DB5DB6" w:rsidRDefault="00DB5DB6">
            <w:pPr>
              <w:suppressAutoHyphens/>
              <w:jc w:val="center"/>
              <w:rPr>
                <w:spacing w:val="-3"/>
              </w:rPr>
            </w:pPr>
            <w:r>
              <w:rPr>
                <w:spacing w:val="-3"/>
              </w:rPr>
              <w:t>SSPE1 (lb/year)</w:t>
            </w:r>
          </w:p>
        </w:tc>
        <w:tc>
          <w:tcPr>
            <w:tcW w:w="1350" w:type="dxa"/>
            <w:tcBorders>
              <w:top w:val="double" w:sz="6" w:space="0" w:color="auto"/>
              <w:left w:val="single" w:sz="6" w:space="0" w:color="auto"/>
            </w:tcBorders>
            <w:shd w:val="clear" w:color="auto" w:fill="auto"/>
            <w:vAlign w:val="center"/>
          </w:tcPr>
          <w:p w:rsidR="00DB5DB6" w:rsidRDefault="00DB5DB6">
            <w:pPr>
              <w:suppressAutoHyphens/>
              <w:jc w:val="center"/>
              <w:rPr>
                <w:spacing w:val="-3"/>
              </w:rPr>
            </w:pPr>
            <w:r>
              <w:rPr>
                <w:rFonts w:cs="Arial"/>
              </w:rPr>
              <w:t xml:space="preserve">SSIPE </w:t>
            </w:r>
            <w:r>
              <w:rPr>
                <w:spacing w:val="-3"/>
              </w:rPr>
              <w:t>(lb/year)</w:t>
            </w:r>
          </w:p>
        </w:tc>
        <w:tc>
          <w:tcPr>
            <w:tcW w:w="2160" w:type="dxa"/>
            <w:tcBorders>
              <w:top w:val="double" w:sz="6" w:space="0" w:color="auto"/>
              <w:left w:val="single" w:sz="6" w:space="0" w:color="auto"/>
            </w:tcBorders>
            <w:shd w:val="clear" w:color="auto" w:fill="auto"/>
            <w:vAlign w:val="center"/>
          </w:tcPr>
          <w:p w:rsidR="00DB5DB6" w:rsidRDefault="00DB5DB6">
            <w:pPr>
              <w:suppressAutoHyphens/>
              <w:jc w:val="center"/>
              <w:rPr>
                <w:spacing w:val="-3"/>
              </w:rPr>
            </w:pPr>
            <w:r>
              <w:rPr>
                <w:spacing w:val="-3"/>
              </w:rPr>
              <w:t>SSIPE Public Notice Threshold</w:t>
            </w:r>
          </w:p>
        </w:tc>
        <w:tc>
          <w:tcPr>
            <w:tcW w:w="1620" w:type="dxa"/>
            <w:tcBorders>
              <w:top w:val="double" w:sz="6" w:space="0" w:color="auto"/>
              <w:left w:val="single" w:sz="6" w:space="0" w:color="auto"/>
              <w:right w:val="double" w:sz="6" w:space="0" w:color="auto"/>
            </w:tcBorders>
            <w:shd w:val="clear" w:color="auto" w:fill="auto"/>
            <w:vAlign w:val="center"/>
          </w:tcPr>
          <w:p w:rsidR="00DB5DB6" w:rsidRDefault="00DB5DB6">
            <w:pPr>
              <w:suppressAutoHyphens/>
              <w:jc w:val="center"/>
              <w:rPr>
                <w:spacing w:val="-3"/>
              </w:rPr>
            </w:pPr>
            <w:r>
              <w:rPr>
                <w:spacing w:val="-3"/>
              </w:rPr>
              <w:t>Public Notice Required?</w:t>
            </w:r>
          </w:p>
        </w:tc>
      </w:tr>
      <w:tr w:rsidR="00DB5DB6" w:rsidTr="00D917EC">
        <w:tc>
          <w:tcPr>
            <w:tcW w:w="1350" w:type="dxa"/>
            <w:tcBorders>
              <w:top w:val="double" w:sz="6" w:space="0" w:color="auto"/>
              <w:left w:val="double" w:sz="6" w:space="0" w:color="auto"/>
            </w:tcBorders>
            <w:shd w:val="clear" w:color="auto" w:fill="auto"/>
            <w:vAlign w:val="center"/>
          </w:tcPr>
          <w:p w:rsidR="00DB5DB6" w:rsidRDefault="00DB5DB6">
            <w:pPr>
              <w:suppressAutoHyphens/>
              <w:jc w:val="center"/>
              <w:rPr>
                <w:spacing w:val="-3"/>
              </w:rPr>
            </w:pPr>
            <w:r>
              <w:rPr>
                <w:noProof/>
                <w:spacing w:val="-3"/>
              </w:rPr>
              <w:t>NO</w:t>
            </w:r>
            <w:r>
              <w:rPr>
                <w:noProof/>
                <w:spacing w:val="-3"/>
                <w:vertAlign w:val="subscript"/>
              </w:rPr>
              <w:t>x</w:t>
            </w:r>
          </w:p>
        </w:tc>
        <w:tc>
          <w:tcPr>
            <w:tcW w:w="1260" w:type="dxa"/>
            <w:tcBorders>
              <w:top w:val="double" w:sz="6" w:space="0" w:color="auto"/>
              <w:left w:val="single" w:sz="6" w:space="0" w:color="auto"/>
            </w:tcBorders>
            <w:shd w:val="clear" w:color="auto" w:fill="auto"/>
            <w:vAlign w:val="center"/>
          </w:tcPr>
          <w:p w:rsidR="00DB5DB6" w:rsidRDefault="006E416D">
            <w:pPr>
              <w:suppressAutoHyphens/>
              <w:jc w:val="center"/>
              <w:rPr>
                <w:spacing w:val="-3"/>
              </w:rPr>
            </w:pPr>
            <w:r>
              <w:rPr>
                <w:spacing w:val="-3"/>
              </w:rPr>
              <w:t>0</w:t>
            </w:r>
          </w:p>
        </w:tc>
        <w:tc>
          <w:tcPr>
            <w:tcW w:w="1170" w:type="dxa"/>
            <w:tcBorders>
              <w:top w:val="double" w:sz="6" w:space="0" w:color="auto"/>
              <w:left w:val="single" w:sz="6" w:space="0" w:color="auto"/>
              <w:right w:val="single" w:sz="6" w:space="0" w:color="auto"/>
            </w:tcBorders>
            <w:shd w:val="clear" w:color="auto" w:fill="auto"/>
            <w:vAlign w:val="center"/>
          </w:tcPr>
          <w:p w:rsidR="00DB5DB6" w:rsidRDefault="00DB5DB6">
            <w:pPr>
              <w:suppressAutoHyphens/>
              <w:jc w:val="center"/>
              <w:rPr>
                <w:spacing w:val="-3"/>
              </w:rPr>
            </w:pPr>
            <w:r>
              <w:rPr>
                <w:spacing w:val="-3"/>
              </w:rPr>
              <w:t>0</w:t>
            </w:r>
          </w:p>
        </w:tc>
        <w:tc>
          <w:tcPr>
            <w:tcW w:w="1350" w:type="dxa"/>
            <w:tcBorders>
              <w:top w:val="double" w:sz="6" w:space="0" w:color="auto"/>
              <w:left w:val="single" w:sz="6" w:space="0" w:color="auto"/>
            </w:tcBorders>
            <w:shd w:val="clear" w:color="auto" w:fill="auto"/>
            <w:vAlign w:val="center"/>
          </w:tcPr>
          <w:p w:rsidR="00DB5DB6" w:rsidRDefault="006E416D">
            <w:pPr>
              <w:suppressAutoHyphens/>
              <w:jc w:val="center"/>
              <w:rPr>
                <w:spacing w:val="-3"/>
              </w:rPr>
            </w:pPr>
            <w:r>
              <w:rPr>
                <w:spacing w:val="-3"/>
              </w:rPr>
              <w:t>0</w:t>
            </w:r>
          </w:p>
        </w:tc>
        <w:tc>
          <w:tcPr>
            <w:tcW w:w="2160" w:type="dxa"/>
            <w:tcBorders>
              <w:top w:val="double" w:sz="6" w:space="0" w:color="auto"/>
              <w:left w:val="single" w:sz="6" w:space="0" w:color="auto"/>
            </w:tcBorders>
            <w:shd w:val="clear" w:color="auto" w:fill="auto"/>
            <w:vAlign w:val="center"/>
          </w:tcPr>
          <w:p w:rsidR="00DB5DB6" w:rsidRDefault="00DB5DB6">
            <w:pPr>
              <w:suppressAutoHyphens/>
              <w:jc w:val="center"/>
              <w:rPr>
                <w:spacing w:val="-3"/>
              </w:rPr>
            </w:pPr>
            <w:r>
              <w:rPr>
                <w:spacing w:val="-3"/>
              </w:rPr>
              <w:t>20,000 lb/year</w:t>
            </w:r>
          </w:p>
        </w:tc>
        <w:tc>
          <w:tcPr>
            <w:tcW w:w="1620" w:type="dxa"/>
            <w:tcBorders>
              <w:top w:val="double" w:sz="6" w:space="0" w:color="auto"/>
              <w:left w:val="single" w:sz="6" w:space="0" w:color="auto"/>
              <w:right w:val="double" w:sz="6" w:space="0" w:color="auto"/>
            </w:tcBorders>
            <w:shd w:val="clear" w:color="auto" w:fill="auto"/>
            <w:vAlign w:val="center"/>
          </w:tcPr>
          <w:p w:rsidR="00DB5DB6" w:rsidRDefault="00DB5DB6">
            <w:pPr>
              <w:suppressAutoHyphens/>
              <w:jc w:val="center"/>
              <w:rPr>
                <w:spacing w:val="-3"/>
              </w:rPr>
            </w:pPr>
            <w:r>
              <w:rPr>
                <w:spacing w:val="-3"/>
              </w:rPr>
              <w:t>No</w:t>
            </w:r>
          </w:p>
        </w:tc>
      </w:tr>
      <w:tr w:rsidR="00DB5DB6" w:rsidTr="00D917EC">
        <w:tc>
          <w:tcPr>
            <w:tcW w:w="1350" w:type="dxa"/>
            <w:tcBorders>
              <w:top w:val="single" w:sz="6" w:space="0" w:color="auto"/>
              <w:left w:val="double" w:sz="6" w:space="0" w:color="auto"/>
            </w:tcBorders>
            <w:shd w:val="clear" w:color="auto" w:fill="auto"/>
            <w:vAlign w:val="center"/>
          </w:tcPr>
          <w:p w:rsidR="00DB5DB6" w:rsidRDefault="00DB5DB6">
            <w:pPr>
              <w:suppressAutoHyphens/>
              <w:jc w:val="center"/>
              <w:rPr>
                <w:spacing w:val="-3"/>
              </w:rPr>
            </w:pPr>
            <w:r>
              <w:rPr>
                <w:noProof/>
                <w:spacing w:val="-3"/>
              </w:rPr>
              <w:t>SO</w:t>
            </w:r>
            <w:r>
              <w:rPr>
                <w:noProof/>
                <w:spacing w:val="-3"/>
                <w:vertAlign w:val="subscript"/>
              </w:rPr>
              <w:t>x</w:t>
            </w:r>
          </w:p>
        </w:tc>
        <w:tc>
          <w:tcPr>
            <w:tcW w:w="1260" w:type="dxa"/>
            <w:tcBorders>
              <w:top w:val="single" w:sz="6" w:space="0" w:color="auto"/>
              <w:left w:val="single" w:sz="6" w:space="0" w:color="auto"/>
            </w:tcBorders>
            <w:shd w:val="clear" w:color="auto" w:fill="auto"/>
            <w:vAlign w:val="center"/>
          </w:tcPr>
          <w:p w:rsidR="00DB5DB6" w:rsidRDefault="006E416D">
            <w:pPr>
              <w:suppressAutoHyphens/>
              <w:jc w:val="center"/>
              <w:rPr>
                <w:spacing w:val="-3"/>
              </w:rPr>
            </w:pPr>
            <w:r>
              <w:rPr>
                <w:spacing w:val="-3"/>
              </w:rPr>
              <w:t>0</w:t>
            </w:r>
          </w:p>
        </w:tc>
        <w:tc>
          <w:tcPr>
            <w:tcW w:w="1170" w:type="dxa"/>
            <w:tcBorders>
              <w:top w:val="single" w:sz="6" w:space="0" w:color="auto"/>
              <w:left w:val="single" w:sz="6" w:space="0" w:color="auto"/>
              <w:right w:val="single" w:sz="6" w:space="0" w:color="auto"/>
            </w:tcBorders>
            <w:shd w:val="clear" w:color="auto" w:fill="auto"/>
            <w:vAlign w:val="center"/>
          </w:tcPr>
          <w:p w:rsidR="00DB5DB6" w:rsidRDefault="00DB5DB6">
            <w:pPr>
              <w:suppressAutoHyphens/>
              <w:jc w:val="center"/>
              <w:rPr>
                <w:spacing w:val="-3"/>
              </w:rPr>
            </w:pPr>
            <w:r>
              <w:rPr>
                <w:spacing w:val="-3"/>
              </w:rPr>
              <w:t>0</w:t>
            </w:r>
          </w:p>
        </w:tc>
        <w:tc>
          <w:tcPr>
            <w:tcW w:w="1350" w:type="dxa"/>
            <w:tcBorders>
              <w:top w:val="single" w:sz="6" w:space="0" w:color="auto"/>
              <w:left w:val="single" w:sz="6" w:space="0" w:color="auto"/>
            </w:tcBorders>
            <w:shd w:val="clear" w:color="auto" w:fill="auto"/>
            <w:vAlign w:val="center"/>
          </w:tcPr>
          <w:p w:rsidR="00DB5DB6" w:rsidRDefault="006E416D">
            <w:pPr>
              <w:suppressAutoHyphens/>
              <w:jc w:val="center"/>
              <w:rPr>
                <w:spacing w:val="-3"/>
              </w:rPr>
            </w:pPr>
            <w:r>
              <w:rPr>
                <w:spacing w:val="-3"/>
              </w:rPr>
              <w:t>0</w:t>
            </w:r>
          </w:p>
        </w:tc>
        <w:tc>
          <w:tcPr>
            <w:tcW w:w="2160" w:type="dxa"/>
            <w:tcBorders>
              <w:top w:val="single" w:sz="6" w:space="0" w:color="auto"/>
              <w:left w:val="single" w:sz="6" w:space="0" w:color="auto"/>
            </w:tcBorders>
            <w:shd w:val="clear" w:color="auto" w:fill="auto"/>
            <w:vAlign w:val="center"/>
          </w:tcPr>
          <w:p w:rsidR="00DB5DB6" w:rsidRDefault="00DB5DB6">
            <w:pPr>
              <w:suppressAutoHyphens/>
              <w:jc w:val="center"/>
              <w:rPr>
                <w:spacing w:val="-3"/>
              </w:rPr>
            </w:pPr>
            <w:r>
              <w:rPr>
                <w:spacing w:val="-3"/>
              </w:rPr>
              <w:t>20,000 lb/year</w:t>
            </w:r>
          </w:p>
        </w:tc>
        <w:tc>
          <w:tcPr>
            <w:tcW w:w="1620" w:type="dxa"/>
            <w:tcBorders>
              <w:top w:val="single" w:sz="6" w:space="0" w:color="auto"/>
              <w:left w:val="single" w:sz="6" w:space="0" w:color="auto"/>
              <w:right w:val="double" w:sz="6" w:space="0" w:color="auto"/>
            </w:tcBorders>
            <w:shd w:val="clear" w:color="auto" w:fill="auto"/>
            <w:vAlign w:val="center"/>
          </w:tcPr>
          <w:p w:rsidR="00DB5DB6" w:rsidRDefault="00DB5DB6">
            <w:pPr>
              <w:suppressAutoHyphens/>
              <w:jc w:val="center"/>
              <w:rPr>
                <w:spacing w:val="-3"/>
              </w:rPr>
            </w:pPr>
            <w:r>
              <w:rPr>
                <w:spacing w:val="-3"/>
              </w:rPr>
              <w:t>No</w:t>
            </w:r>
          </w:p>
        </w:tc>
      </w:tr>
      <w:tr w:rsidR="00DB5DB6" w:rsidTr="00D917EC">
        <w:tc>
          <w:tcPr>
            <w:tcW w:w="1350" w:type="dxa"/>
            <w:tcBorders>
              <w:top w:val="single" w:sz="6" w:space="0" w:color="auto"/>
              <w:left w:val="double" w:sz="6" w:space="0" w:color="auto"/>
            </w:tcBorders>
            <w:shd w:val="clear" w:color="auto" w:fill="auto"/>
            <w:vAlign w:val="center"/>
          </w:tcPr>
          <w:p w:rsidR="00DB5DB6" w:rsidRDefault="00DB5DB6">
            <w:pPr>
              <w:suppressAutoHyphens/>
              <w:jc w:val="center"/>
              <w:rPr>
                <w:spacing w:val="-3"/>
              </w:rPr>
            </w:pPr>
            <w:r>
              <w:rPr>
                <w:spacing w:val="-3"/>
              </w:rPr>
              <w:t>PM</w:t>
            </w:r>
            <w:r>
              <w:rPr>
                <w:spacing w:val="-3"/>
                <w:vertAlign w:val="subscript"/>
              </w:rPr>
              <w:t>10</w:t>
            </w:r>
          </w:p>
        </w:tc>
        <w:tc>
          <w:tcPr>
            <w:tcW w:w="1260" w:type="dxa"/>
            <w:tcBorders>
              <w:top w:val="single" w:sz="6" w:space="0" w:color="auto"/>
              <w:left w:val="single" w:sz="6" w:space="0" w:color="auto"/>
            </w:tcBorders>
            <w:shd w:val="clear" w:color="auto" w:fill="auto"/>
            <w:vAlign w:val="center"/>
          </w:tcPr>
          <w:p w:rsidR="00DB5DB6" w:rsidRDefault="006E416D">
            <w:pPr>
              <w:suppressAutoHyphens/>
              <w:jc w:val="center"/>
              <w:rPr>
                <w:spacing w:val="-3"/>
              </w:rPr>
            </w:pPr>
            <w:r>
              <w:rPr>
                <w:spacing w:val="-3"/>
              </w:rPr>
              <w:t>0</w:t>
            </w:r>
          </w:p>
        </w:tc>
        <w:tc>
          <w:tcPr>
            <w:tcW w:w="1170" w:type="dxa"/>
            <w:tcBorders>
              <w:top w:val="single" w:sz="6" w:space="0" w:color="auto"/>
              <w:left w:val="single" w:sz="6" w:space="0" w:color="auto"/>
              <w:right w:val="single" w:sz="6" w:space="0" w:color="auto"/>
            </w:tcBorders>
            <w:shd w:val="clear" w:color="auto" w:fill="auto"/>
            <w:vAlign w:val="center"/>
          </w:tcPr>
          <w:p w:rsidR="00DB5DB6" w:rsidRDefault="006E416D">
            <w:pPr>
              <w:suppressAutoHyphens/>
              <w:jc w:val="center"/>
              <w:rPr>
                <w:spacing w:val="-3"/>
              </w:rPr>
            </w:pPr>
            <w:r>
              <w:rPr>
                <w:spacing w:val="-3"/>
              </w:rPr>
              <w:t>0</w:t>
            </w:r>
          </w:p>
        </w:tc>
        <w:tc>
          <w:tcPr>
            <w:tcW w:w="1350" w:type="dxa"/>
            <w:tcBorders>
              <w:top w:val="single" w:sz="6" w:space="0" w:color="auto"/>
              <w:left w:val="single" w:sz="6" w:space="0" w:color="auto"/>
            </w:tcBorders>
            <w:shd w:val="clear" w:color="auto" w:fill="auto"/>
            <w:vAlign w:val="center"/>
          </w:tcPr>
          <w:p w:rsidR="00DB5DB6" w:rsidRDefault="006E416D">
            <w:pPr>
              <w:suppressAutoHyphens/>
              <w:jc w:val="center"/>
              <w:rPr>
                <w:spacing w:val="-3"/>
              </w:rPr>
            </w:pPr>
            <w:r>
              <w:rPr>
                <w:spacing w:val="-3"/>
              </w:rPr>
              <w:t>0</w:t>
            </w:r>
          </w:p>
        </w:tc>
        <w:tc>
          <w:tcPr>
            <w:tcW w:w="2160" w:type="dxa"/>
            <w:tcBorders>
              <w:top w:val="single" w:sz="6" w:space="0" w:color="auto"/>
              <w:left w:val="single" w:sz="6" w:space="0" w:color="auto"/>
            </w:tcBorders>
            <w:shd w:val="clear" w:color="auto" w:fill="auto"/>
            <w:vAlign w:val="center"/>
          </w:tcPr>
          <w:p w:rsidR="00DB5DB6" w:rsidRDefault="00DB5DB6">
            <w:pPr>
              <w:suppressAutoHyphens/>
              <w:jc w:val="center"/>
              <w:rPr>
                <w:spacing w:val="-3"/>
              </w:rPr>
            </w:pPr>
            <w:r>
              <w:rPr>
                <w:spacing w:val="-3"/>
              </w:rPr>
              <w:t>20,000 lb/year</w:t>
            </w:r>
          </w:p>
        </w:tc>
        <w:tc>
          <w:tcPr>
            <w:tcW w:w="1620" w:type="dxa"/>
            <w:tcBorders>
              <w:top w:val="single" w:sz="6" w:space="0" w:color="auto"/>
              <w:left w:val="single" w:sz="6" w:space="0" w:color="auto"/>
              <w:right w:val="double" w:sz="6" w:space="0" w:color="auto"/>
            </w:tcBorders>
            <w:shd w:val="clear" w:color="auto" w:fill="auto"/>
            <w:vAlign w:val="center"/>
          </w:tcPr>
          <w:p w:rsidR="00DB5DB6" w:rsidRDefault="00DB5DB6">
            <w:pPr>
              <w:suppressAutoHyphens/>
              <w:jc w:val="center"/>
              <w:rPr>
                <w:spacing w:val="-3"/>
              </w:rPr>
            </w:pPr>
            <w:r>
              <w:rPr>
                <w:spacing w:val="-3"/>
              </w:rPr>
              <w:t>No</w:t>
            </w:r>
          </w:p>
        </w:tc>
      </w:tr>
      <w:tr w:rsidR="00DB5DB6" w:rsidTr="00D917EC">
        <w:tc>
          <w:tcPr>
            <w:tcW w:w="1350" w:type="dxa"/>
            <w:tcBorders>
              <w:top w:val="single" w:sz="6" w:space="0" w:color="auto"/>
              <w:left w:val="double" w:sz="6" w:space="0" w:color="auto"/>
            </w:tcBorders>
            <w:shd w:val="clear" w:color="auto" w:fill="auto"/>
            <w:vAlign w:val="center"/>
          </w:tcPr>
          <w:p w:rsidR="00DB5DB6" w:rsidRDefault="00DB5DB6">
            <w:pPr>
              <w:suppressAutoHyphens/>
              <w:jc w:val="center"/>
              <w:rPr>
                <w:spacing w:val="-3"/>
              </w:rPr>
            </w:pPr>
            <w:r>
              <w:rPr>
                <w:spacing w:val="-3"/>
              </w:rPr>
              <w:t>CO</w:t>
            </w:r>
          </w:p>
        </w:tc>
        <w:tc>
          <w:tcPr>
            <w:tcW w:w="1260" w:type="dxa"/>
            <w:tcBorders>
              <w:top w:val="single" w:sz="6" w:space="0" w:color="auto"/>
              <w:left w:val="single" w:sz="6" w:space="0" w:color="auto"/>
            </w:tcBorders>
            <w:shd w:val="clear" w:color="auto" w:fill="auto"/>
            <w:vAlign w:val="center"/>
          </w:tcPr>
          <w:p w:rsidR="00DB5DB6" w:rsidRDefault="006E416D">
            <w:pPr>
              <w:suppressAutoHyphens/>
              <w:jc w:val="center"/>
              <w:rPr>
                <w:spacing w:val="-3"/>
              </w:rPr>
            </w:pPr>
            <w:r>
              <w:rPr>
                <w:spacing w:val="-3"/>
              </w:rPr>
              <w:t>0</w:t>
            </w:r>
          </w:p>
        </w:tc>
        <w:tc>
          <w:tcPr>
            <w:tcW w:w="1170" w:type="dxa"/>
            <w:tcBorders>
              <w:top w:val="single" w:sz="6" w:space="0" w:color="auto"/>
              <w:left w:val="single" w:sz="6" w:space="0" w:color="auto"/>
              <w:right w:val="single" w:sz="6" w:space="0" w:color="auto"/>
            </w:tcBorders>
            <w:shd w:val="clear" w:color="auto" w:fill="auto"/>
            <w:vAlign w:val="center"/>
          </w:tcPr>
          <w:p w:rsidR="00DB5DB6" w:rsidRDefault="00DB5DB6">
            <w:pPr>
              <w:suppressAutoHyphens/>
              <w:jc w:val="center"/>
              <w:rPr>
                <w:spacing w:val="-3"/>
              </w:rPr>
            </w:pPr>
            <w:r>
              <w:rPr>
                <w:spacing w:val="-3"/>
              </w:rPr>
              <w:t>0</w:t>
            </w:r>
          </w:p>
        </w:tc>
        <w:tc>
          <w:tcPr>
            <w:tcW w:w="1350" w:type="dxa"/>
            <w:tcBorders>
              <w:top w:val="single" w:sz="6" w:space="0" w:color="auto"/>
              <w:left w:val="single" w:sz="6" w:space="0" w:color="auto"/>
            </w:tcBorders>
            <w:shd w:val="clear" w:color="auto" w:fill="auto"/>
            <w:vAlign w:val="center"/>
          </w:tcPr>
          <w:p w:rsidR="00DB5DB6" w:rsidRDefault="006E416D">
            <w:pPr>
              <w:suppressAutoHyphens/>
              <w:jc w:val="center"/>
              <w:rPr>
                <w:spacing w:val="-3"/>
              </w:rPr>
            </w:pPr>
            <w:r>
              <w:rPr>
                <w:spacing w:val="-3"/>
              </w:rPr>
              <w:t>0</w:t>
            </w:r>
          </w:p>
        </w:tc>
        <w:tc>
          <w:tcPr>
            <w:tcW w:w="2160" w:type="dxa"/>
            <w:tcBorders>
              <w:top w:val="single" w:sz="6" w:space="0" w:color="auto"/>
              <w:left w:val="single" w:sz="6" w:space="0" w:color="auto"/>
            </w:tcBorders>
            <w:shd w:val="clear" w:color="auto" w:fill="auto"/>
            <w:vAlign w:val="center"/>
          </w:tcPr>
          <w:p w:rsidR="00DB5DB6" w:rsidRDefault="00DB5DB6">
            <w:pPr>
              <w:suppressAutoHyphens/>
              <w:jc w:val="center"/>
              <w:rPr>
                <w:spacing w:val="-3"/>
              </w:rPr>
            </w:pPr>
            <w:r>
              <w:rPr>
                <w:spacing w:val="-3"/>
              </w:rPr>
              <w:t>20,000 lb/year</w:t>
            </w:r>
          </w:p>
        </w:tc>
        <w:tc>
          <w:tcPr>
            <w:tcW w:w="1620" w:type="dxa"/>
            <w:tcBorders>
              <w:top w:val="single" w:sz="6" w:space="0" w:color="auto"/>
              <w:left w:val="single" w:sz="6" w:space="0" w:color="auto"/>
              <w:right w:val="double" w:sz="6" w:space="0" w:color="auto"/>
            </w:tcBorders>
            <w:shd w:val="clear" w:color="auto" w:fill="auto"/>
            <w:vAlign w:val="center"/>
          </w:tcPr>
          <w:p w:rsidR="00DB5DB6" w:rsidRDefault="00DB5DB6">
            <w:pPr>
              <w:suppressAutoHyphens/>
              <w:jc w:val="center"/>
              <w:rPr>
                <w:spacing w:val="-3"/>
              </w:rPr>
            </w:pPr>
            <w:r>
              <w:rPr>
                <w:spacing w:val="-3"/>
              </w:rPr>
              <w:t>No</w:t>
            </w:r>
          </w:p>
        </w:tc>
      </w:tr>
      <w:tr w:rsidR="00DB5DB6" w:rsidTr="00D917EC">
        <w:tc>
          <w:tcPr>
            <w:tcW w:w="1350" w:type="dxa"/>
            <w:tcBorders>
              <w:top w:val="single" w:sz="6" w:space="0" w:color="auto"/>
              <w:left w:val="double" w:sz="6" w:space="0" w:color="auto"/>
              <w:bottom w:val="double" w:sz="6" w:space="0" w:color="auto"/>
            </w:tcBorders>
            <w:shd w:val="clear" w:color="auto" w:fill="auto"/>
            <w:vAlign w:val="center"/>
          </w:tcPr>
          <w:p w:rsidR="00DB5DB6" w:rsidRDefault="00DB5DB6">
            <w:pPr>
              <w:suppressAutoHyphens/>
              <w:jc w:val="center"/>
              <w:rPr>
                <w:spacing w:val="-3"/>
              </w:rPr>
            </w:pPr>
            <w:r>
              <w:rPr>
                <w:spacing w:val="-3"/>
              </w:rPr>
              <w:t>VOC</w:t>
            </w:r>
          </w:p>
        </w:tc>
        <w:tc>
          <w:tcPr>
            <w:tcW w:w="1260" w:type="dxa"/>
            <w:tcBorders>
              <w:top w:val="single" w:sz="6" w:space="0" w:color="auto"/>
              <w:left w:val="single" w:sz="6" w:space="0" w:color="auto"/>
              <w:bottom w:val="double" w:sz="6" w:space="0" w:color="auto"/>
            </w:tcBorders>
            <w:shd w:val="clear" w:color="auto" w:fill="auto"/>
            <w:vAlign w:val="center"/>
          </w:tcPr>
          <w:p w:rsidR="00DB5DB6" w:rsidRDefault="007379AA">
            <w:pPr>
              <w:suppressAutoHyphens/>
              <w:jc w:val="center"/>
              <w:rPr>
                <w:spacing w:val="-3"/>
              </w:rPr>
            </w:pPr>
            <w:r>
              <w:rPr>
                <w:spacing w:val="-3"/>
              </w:rPr>
              <w:t>8,50</w:t>
            </w:r>
            <w:r w:rsidR="006E416D">
              <w:rPr>
                <w:spacing w:val="-3"/>
              </w:rPr>
              <w:t>0</w:t>
            </w:r>
          </w:p>
        </w:tc>
        <w:tc>
          <w:tcPr>
            <w:tcW w:w="1170" w:type="dxa"/>
            <w:tcBorders>
              <w:top w:val="single" w:sz="6" w:space="0" w:color="auto"/>
              <w:left w:val="single" w:sz="6" w:space="0" w:color="auto"/>
              <w:bottom w:val="double" w:sz="6" w:space="0" w:color="auto"/>
              <w:right w:val="single" w:sz="6" w:space="0" w:color="auto"/>
            </w:tcBorders>
            <w:shd w:val="clear" w:color="auto" w:fill="auto"/>
            <w:vAlign w:val="center"/>
          </w:tcPr>
          <w:p w:rsidR="00DB5DB6" w:rsidRDefault="00DB5DB6">
            <w:pPr>
              <w:suppressAutoHyphens/>
              <w:jc w:val="center"/>
              <w:rPr>
                <w:spacing w:val="-3"/>
              </w:rPr>
            </w:pPr>
            <w:r>
              <w:rPr>
                <w:spacing w:val="-3"/>
              </w:rPr>
              <w:t>0</w:t>
            </w:r>
          </w:p>
        </w:tc>
        <w:tc>
          <w:tcPr>
            <w:tcW w:w="1350" w:type="dxa"/>
            <w:tcBorders>
              <w:top w:val="single" w:sz="6" w:space="0" w:color="auto"/>
              <w:left w:val="single" w:sz="6" w:space="0" w:color="auto"/>
              <w:bottom w:val="double" w:sz="6" w:space="0" w:color="auto"/>
            </w:tcBorders>
            <w:shd w:val="clear" w:color="auto" w:fill="auto"/>
            <w:vAlign w:val="center"/>
          </w:tcPr>
          <w:p w:rsidR="00DB5DB6" w:rsidRDefault="007379AA">
            <w:pPr>
              <w:suppressAutoHyphens/>
              <w:jc w:val="center"/>
              <w:rPr>
                <w:spacing w:val="-3"/>
              </w:rPr>
            </w:pPr>
            <w:r>
              <w:rPr>
                <w:spacing w:val="-3"/>
              </w:rPr>
              <w:t>8,50</w:t>
            </w:r>
            <w:r w:rsidR="006E416D">
              <w:rPr>
                <w:spacing w:val="-3"/>
              </w:rPr>
              <w:t>0</w:t>
            </w:r>
          </w:p>
        </w:tc>
        <w:tc>
          <w:tcPr>
            <w:tcW w:w="2160" w:type="dxa"/>
            <w:tcBorders>
              <w:top w:val="single" w:sz="6" w:space="0" w:color="auto"/>
              <w:left w:val="single" w:sz="6" w:space="0" w:color="auto"/>
              <w:bottom w:val="double" w:sz="6" w:space="0" w:color="auto"/>
            </w:tcBorders>
            <w:shd w:val="clear" w:color="auto" w:fill="auto"/>
            <w:vAlign w:val="center"/>
          </w:tcPr>
          <w:p w:rsidR="00DB5DB6" w:rsidRDefault="00DB5DB6">
            <w:pPr>
              <w:suppressAutoHyphens/>
              <w:jc w:val="center"/>
              <w:rPr>
                <w:spacing w:val="-3"/>
              </w:rPr>
            </w:pPr>
            <w:r>
              <w:rPr>
                <w:spacing w:val="-3"/>
              </w:rPr>
              <w:t>20,000 lb/year</w:t>
            </w:r>
          </w:p>
        </w:tc>
        <w:tc>
          <w:tcPr>
            <w:tcW w:w="1620" w:type="dxa"/>
            <w:tcBorders>
              <w:top w:val="single" w:sz="6" w:space="0" w:color="auto"/>
              <w:left w:val="single" w:sz="6" w:space="0" w:color="auto"/>
              <w:bottom w:val="double" w:sz="6" w:space="0" w:color="auto"/>
              <w:right w:val="double" w:sz="6" w:space="0" w:color="auto"/>
            </w:tcBorders>
            <w:shd w:val="clear" w:color="auto" w:fill="auto"/>
            <w:vAlign w:val="center"/>
          </w:tcPr>
          <w:p w:rsidR="00DB5DB6" w:rsidRDefault="00DB5DB6">
            <w:pPr>
              <w:suppressAutoHyphens/>
              <w:jc w:val="center"/>
              <w:rPr>
                <w:spacing w:val="-3"/>
              </w:rPr>
            </w:pPr>
            <w:r>
              <w:rPr>
                <w:spacing w:val="-3"/>
              </w:rPr>
              <w:t>No</w:t>
            </w:r>
          </w:p>
        </w:tc>
      </w:tr>
    </w:tbl>
    <w:p w:rsidR="00DB5DB6" w:rsidRDefault="00DB5DB6">
      <w:pPr>
        <w:ind w:left="1440"/>
        <w:rPr>
          <w:rFonts w:cs="Arial"/>
          <w:color w:val="000000"/>
          <w:spacing w:val="-3"/>
        </w:rPr>
      </w:pPr>
    </w:p>
    <w:p w:rsidR="00DB5DB6" w:rsidRDefault="00DB5DB6">
      <w:pPr>
        <w:tabs>
          <w:tab w:val="left" w:pos="1080"/>
        </w:tabs>
        <w:ind w:left="1080"/>
      </w:pPr>
      <w:r>
        <w:t>As demonstrated above, the SSIPEs for all pollutants were less than 20,000 lb/year; therefore public noticing for SSIPE purposes is not required.</w:t>
      </w:r>
    </w:p>
    <w:p w:rsidR="00DB5DB6" w:rsidRDefault="00DB5DB6">
      <w:pPr>
        <w:ind w:left="1440"/>
        <w:rPr>
          <w:color w:val="000000"/>
        </w:rPr>
      </w:pPr>
    </w:p>
    <w:p w:rsidR="00DB5DB6" w:rsidRDefault="00DB5DB6">
      <w:pPr>
        <w:tabs>
          <w:tab w:val="left" w:pos="2610"/>
        </w:tabs>
        <w:autoSpaceDE w:val="0"/>
        <w:autoSpaceDN w:val="0"/>
        <w:adjustRightInd w:val="0"/>
        <w:ind w:left="1440"/>
        <w:rPr>
          <w:rFonts w:cs="Arial"/>
          <w:color w:val="0000FF"/>
          <w:spacing w:val="-3"/>
        </w:rPr>
      </w:pPr>
      <w:r>
        <w:rPr>
          <w:i/>
          <w:iCs/>
          <w:color w:val="0000FF"/>
          <w:u w:val="single"/>
        </w:rPr>
        <w:t>Example (b)</w:t>
      </w:r>
      <w:r>
        <w:rPr>
          <w:i/>
          <w:iCs/>
          <w:color w:val="0000FF"/>
        </w:rPr>
        <w:t>:</w:t>
      </w:r>
      <w:r>
        <w:rPr>
          <w:i/>
          <w:iCs/>
          <w:color w:val="0000FF"/>
        </w:rPr>
        <w:tab/>
        <w:t>(For a project where the SSIPE &gt; 20,000 lb/year.)</w:t>
      </w:r>
    </w:p>
    <w:tbl>
      <w:tblPr>
        <w:tblW w:w="8910" w:type="dxa"/>
        <w:tblInd w:w="1562" w:type="dxa"/>
        <w:tblLayout w:type="fixed"/>
        <w:tblCellMar>
          <w:left w:w="122" w:type="dxa"/>
          <w:right w:w="122" w:type="dxa"/>
        </w:tblCellMar>
        <w:tblLook w:val="0000" w:firstRow="0" w:lastRow="0" w:firstColumn="0" w:lastColumn="0" w:noHBand="0" w:noVBand="0"/>
      </w:tblPr>
      <w:tblGrid>
        <w:gridCol w:w="1350"/>
        <w:gridCol w:w="1260"/>
        <w:gridCol w:w="1139"/>
        <w:gridCol w:w="1381"/>
        <w:gridCol w:w="2160"/>
        <w:gridCol w:w="1620"/>
      </w:tblGrid>
      <w:tr w:rsidR="00DB5DB6" w:rsidTr="00D917EC">
        <w:trPr>
          <w:cantSplit/>
          <w:trHeight w:val="144"/>
        </w:trPr>
        <w:tc>
          <w:tcPr>
            <w:tcW w:w="8910" w:type="dxa"/>
            <w:gridSpan w:val="6"/>
            <w:tcBorders>
              <w:top w:val="double" w:sz="6" w:space="0" w:color="auto"/>
              <w:left w:val="double" w:sz="6" w:space="0" w:color="auto"/>
              <w:right w:val="double" w:sz="6" w:space="0" w:color="auto"/>
            </w:tcBorders>
            <w:shd w:val="clear" w:color="auto" w:fill="auto"/>
          </w:tcPr>
          <w:p w:rsidR="00DB5DB6" w:rsidRDefault="00DB5DB6">
            <w:pPr>
              <w:jc w:val="center"/>
              <w:rPr>
                <w:b/>
                <w:bCs/>
              </w:rPr>
            </w:pPr>
            <w:r>
              <w:rPr>
                <w:b/>
                <w:bCs/>
              </w:rPr>
              <w:t>Stationary Source Increase in Permitted Emissions [SSIPE] – Public Notice</w:t>
            </w:r>
          </w:p>
        </w:tc>
      </w:tr>
      <w:tr w:rsidR="00DB5DB6" w:rsidTr="00D917EC">
        <w:tc>
          <w:tcPr>
            <w:tcW w:w="1350" w:type="dxa"/>
            <w:tcBorders>
              <w:top w:val="double" w:sz="6" w:space="0" w:color="auto"/>
              <w:left w:val="double" w:sz="6" w:space="0" w:color="auto"/>
            </w:tcBorders>
            <w:shd w:val="clear" w:color="auto" w:fill="auto"/>
            <w:vAlign w:val="center"/>
          </w:tcPr>
          <w:p w:rsidR="00DB5DB6" w:rsidRDefault="00DB5DB6">
            <w:pPr>
              <w:suppressAutoHyphens/>
              <w:jc w:val="center"/>
              <w:rPr>
                <w:spacing w:val="-3"/>
              </w:rPr>
            </w:pPr>
            <w:r>
              <w:rPr>
                <w:spacing w:val="-3"/>
              </w:rPr>
              <w:t>Pollutant</w:t>
            </w:r>
          </w:p>
        </w:tc>
        <w:tc>
          <w:tcPr>
            <w:tcW w:w="1260" w:type="dxa"/>
            <w:tcBorders>
              <w:top w:val="double" w:sz="6" w:space="0" w:color="auto"/>
              <w:left w:val="single" w:sz="6" w:space="0" w:color="auto"/>
            </w:tcBorders>
            <w:shd w:val="clear" w:color="auto" w:fill="auto"/>
            <w:vAlign w:val="center"/>
          </w:tcPr>
          <w:p w:rsidR="00DB5DB6" w:rsidRDefault="00DB5DB6">
            <w:pPr>
              <w:suppressAutoHyphens/>
              <w:jc w:val="center"/>
              <w:rPr>
                <w:spacing w:val="-3"/>
              </w:rPr>
            </w:pPr>
            <w:r>
              <w:rPr>
                <w:spacing w:val="-3"/>
              </w:rPr>
              <w:t>SSPE2 (lb/year)</w:t>
            </w:r>
          </w:p>
        </w:tc>
        <w:tc>
          <w:tcPr>
            <w:tcW w:w="1139" w:type="dxa"/>
            <w:tcBorders>
              <w:top w:val="double" w:sz="6" w:space="0" w:color="auto"/>
              <w:left w:val="single" w:sz="6" w:space="0" w:color="auto"/>
              <w:right w:val="single" w:sz="6" w:space="0" w:color="auto"/>
            </w:tcBorders>
            <w:shd w:val="clear" w:color="auto" w:fill="auto"/>
            <w:vAlign w:val="center"/>
          </w:tcPr>
          <w:p w:rsidR="00DB5DB6" w:rsidRDefault="00DB5DB6">
            <w:pPr>
              <w:suppressAutoHyphens/>
              <w:jc w:val="center"/>
              <w:rPr>
                <w:spacing w:val="-3"/>
              </w:rPr>
            </w:pPr>
            <w:r>
              <w:rPr>
                <w:spacing w:val="-3"/>
              </w:rPr>
              <w:t>SSPE1 (lb/year)</w:t>
            </w:r>
          </w:p>
        </w:tc>
        <w:tc>
          <w:tcPr>
            <w:tcW w:w="1381" w:type="dxa"/>
            <w:tcBorders>
              <w:top w:val="double" w:sz="6" w:space="0" w:color="auto"/>
              <w:left w:val="single" w:sz="6" w:space="0" w:color="auto"/>
            </w:tcBorders>
            <w:shd w:val="clear" w:color="auto" w:fill="auto"/>
            <w:vAlign w:val="center"/>
          </w:tcPr>
          <w:p w:rsidR="00DB5DB6" w:rsidRDefault="00DB5DB6">
            <w:pPr>
              <w:suppressAutoHyphens/>
              <w:jc w:val="center"/>
              <w:rPr>
                <w:spacing w:val="-3"/>
              </w:rPr>
            </w:pPr>
            <w:r>
              <w:rPr>
                <w:rFonts w:cs="Arial"/>
              </w:rPr>
              <w:t xml:space="preserve">SSIPE </w:t>
            </w:r>
            <w:r>
              <w:rPr>
                <w:spacing w:val="-3"/>
              </w:rPr>
              <w:t>(lb/year)</w:t>
            </w:r>
          </w:p>
        </w:tc>
        <w:tc>
          <w:tcPr>
            <w:tcW w:w="2160" w:type="dxa"/>
            <w:tcBorders>
              <w:top w:val="double" w:sz="6" w:space="0" w:color="auto"/>
              <w:left w:val="single" w:sz="6" w:space="0" w:color="auto"/>
            </w:tcBorders>
            <w:shd w:val="clear" w:color="auto" w:fill="auto"/>
            <w:vAlign w:val="center"/>
          </w:tcPr>
          <w:p w:rsidR="00DB5DB6" w:rsidRDefault="00DB5DB6">
            <w:pPr>
              <w:suppressAutoHyphens/>
              <w:jc w:val="center"/>
              <w:rPr>
                <w:spacing w:val="-3"/>
              </w:rPr>
            </w:pPr>
            <w:r>
              <w:rPr>
                <w:spacing w:val="-3"/>
              </w:rPr>
              <w:t>SSIPE Public Notice Threshold</w:t>
            </w:r>
          </w:p>
        </w:tc>
        <w:tc>
          <w:tcPr>
            <w:tcW w:w="1620" w:type="dxa"/>
            <w:tcBorders>
              <w:top w:val="double" w:sz="6" w:space="0" w:color="auto"/>
              <w:left w:val="single" w:sz="6" w:space="0" w:color="auto"/>
              <w:right w:val="double" w:sz="6" w:space="0" w:color="auto"/>
            </w:tcBorders>
            <w:shd w:val="clear" w:color="auto" w:fill="auto"/>
            <w:vAlign w:val="center"/>
          </w:tcPr>
          <w:p w:rsidR="00DB5DB6" w:rsidRDefault="00DB5DB6">
            <w:pPr>
              <w:suppressAutoHyphens/>
              <w:jc w:val="center"/>
              <w:rPr>
                <w:spacing w:val="-3"/>
              </w:rPr>
            </w:pPr>
            <w:r>
              <w:rPr>
                <w:spacing w:val="-3"/>
              </w:rPr>
              <w:t>Public Notice Required?</w:t>
            </w:r>
          </w:p>
        </w:tc>
      </w:tr>
      <w:tr w:rsidR="00DB5DB6" w:rsidTr="00D917EC">
        <w:tc>
          <w:tcPr>
            <w:tcW w:w="1350" w:type="dxa"/>
            <w:tcBorders>
              <w:top w:val="double" w:sz="6" w:space="0" w:color="auto"/>
              <w:left w:val="double" w:sz="6" w:space="0" w:color="auto"/>
            </w:tcBorders>
            <w:shd w:val="clear" w:color="auto" w:fill="auto"/>
            <w:vAlign w:val="center"/>
          </w:tcPr>
          <w:p w:rsidR="00DB5DB6" w:rsidRDefault="00DB5DB6">
            <w:pPr>
              <w:suppressAutoHyphens/>
              <w:jc w:val="center"/>
              <w:rPr>
                <w:spacing w:val="-3"/>
              </w:rPr>
            </w:pPr>
            <w:r>
              <w:rPr>
                <w:noProof/>
                <w:spacing w:val="-3"/>
              </w:rPr>
              <w:t>NO</w:t>
            </w:r>
            <w:r>
              <w:rPr>
                <w:noProof/>
                <w:spacing w:val="-3"/>
                <w:vertAlign w:val="subscript"/>
              </w:rPr>
              <w:t>x</w:t>
            </w:r>
          </w:p>
        </w:tc>
        <w:tc>
          <w:tcPr>
            <w:tcW w:w="1260" w:type="dxa"/>
            <w:tcBorders>
              <w:top w:val="double" w:sz="6" w:space="0" w:color="auto"/>
              <w:left w:val="single" w:sz="6" w:space="0" w:color="auto"/>
            </w:tcBorders>
            <w:shd w:val="clear" w:color="auto" w:fill="auto"/>
            <w:vAlign w:val="center"/>
          </w:tcPr>
          <w:p w:rsidR="00DB5DB6" w:rsidRDefault="006E416D">
            <w:pPr>
              <w:suppressAutoHyphens/>
              <w:jc w:val="center"/>
              <w:rPr>
                <w:spacing w:val="-3"/>
              </w:rPr>
            </w:pPr>
            <w:r>
              <w:rPr>
                <w:spacing w:val="-3"/>
              </w:rPr>
              <w:t>0</w:t>
            </w:r>
          </w:p>
        </w:tc>
        <w:tc>
          <w:tcPr>
            <w:tcW w:w="1139" w:type="dxa"/>
            <w:tcBorders>
              <w:top w:val="double" w:sz="6" w:space="0" w:color="auto"/>
              <w:left w:val="single" w:sz="6" w:space="0" w:color="auto"/>
              <w:right w:val="single" w:sz="6" w:space="0" w:color="auto"/>
            </w:tcBorders>
            <w:shd w:val="clear" w:color="auto" w:fill="auto"/>
            <w:vAlign w:val="center"/>
          </w:tcPr>
          <w:p w:rsidR="00DB5DB6" w:rsidRDefault="006E416D">
            <w:pPr>
              <w:suppressAutoHyphens/>
              <w:jc w:val="center"/>
              <w:rPr>
                <w:spacing w:val="-3"/>
              </w:rPr>
            </w:pPr>
            <w:r>
              <w:rPr>
                <w:spacing w:val="-3"/>
              </w:rPr>
              <w:t>0</w:t>
            </w:r>
          </w:p>
        </w:tc>
        <w:tc>
          <w:tcPr>
            <w:tcW w:w="1381" w:type="dxa"/>
            <w:tcBorders>
              <w:top w:val="double" w:sz="6" w:space="0" w:color="auto"/>
              <w:left w:val="single" w:sz="6" w:space="0" w:color="auto"/>
            </w:tcBorders>
            <w:shd w:val="clear" w:color="auto" w:fill="auto"/>
            <w:vAlign w:val="center"/>
          </w:tcPr>
          <w:p w:rsidR="00DB5DB6" w:rsidRDefault="006E416D">
            <w:pPr>
              <w:suppressAutoHyphens/>
              <w:jc w:val="center"/>
              <w:rPr>
                <w:spacing w:val="-3"/>
              </w:rPr>
            </w:pPr>
            <w:r>
              <w:rPr>
                <w:spacing w:val="-3"/>
              </w:rPr>
              <w:t>0</w:t>
            </w:r>
          </w:p>
        </w:tc>
        <w:tc>
          <w:tcPr>
            <w:tcW w:w="2160" w:type="dxa"/>
            <w:tcBorders>
              <w:top w:val="double" w:sz="6" w:space="0" w:color="auto"/>
              <w:left w:val="single" w:sz="6" w:space="0" w:color="auto"/>
            </w:tcBorders>
            <w:shd w:val="clear" w:color="auto" w:fill="auto"/>
            <w:vAlign w:val="center"/>
          </w:tcPr>
          <w:p w:rsidR="00DB5DB6" w:rsidRDefault="00DB5DB6">
            <w:pPr>
              <w:suppressAutoHyphens/>
              <w:jc w:val="center"/>
              <w:rPr>
                <w:spacing w:val="-3"/>
              </w:rPr>
            </w:pPr>
            <w:r>
              <w:rPr>
                <w:spacing w:val="-3"/>
              </w:rPr>
              <w:t>20,000 lb/year</w:t>
            </w:r>
          </w:p>
        </w:tc>
        <w:tc>
          <w:tcPr>
            <w:tcW w:w="1620" w:type="dxa"/>
            <w:tcBorders>
              <w:top w:val="double" w:sz="6" w:space="0" w:color="auto"/>
              <w:left w:val="single" w:sz="6" w:space="0" w:color="auto"/>
              <w:right w:val="double" w:sz="6" w:space="0" w:color="auto"/>
            </w:tcBorders>
            <w:shd w:val="clear" w:color="auto" w:fill="auto"/>
            <w:vAlign w:val="center"/>
          </w:tcPr>
          <w:p w:rsidR="00DB5DB6" w:rsidRDefault="006E416D" w:rsidP="006E416D">
            <w:pPr>
              <w:suppressAutoHyphens/>
              <w:jc w:val="center"/>
              <w:rPr>
                <w:spacing w:val="-3"/>
              </w:rPr>
            </w:pPr>
            <w:r>
              <w:rPr>
                <w:spacing w:val="-3"/>
              </w:rPr>
              <w:t>No</w:t>
            </w:r>
          </w:p>
        </w:tc>
      </w:tr>
      <w:tr w:rsidR="00DB5DB6" w:rsidTr="00D917EC">
        <w:tc>
          <w:tcPr>
            <w:tcW w:w="1350" w:type="dxa"/>
            <w:tcBorders>
              <w:top w:val="single" w:sz="6" w:space="0" w:color="auto"/>
              <w:left w:val="double" w:sz="6" w:space="0" w:color="auto"/>
            </w:tcBorders>
            <w:shd w:val="clear" w:color="auto" w:fill="auto"/>
            <w:vAlign w:val="center"/>
          </w:tcPr>
          <w:p w:rsidR="00DB5DB6" w:rsidRDefault="00DB5DB6">
            <w:pPr>
              <w:suppressAutoHyphens/>
              <w:jc w:val="center"/>
              <w:rPr>
                <w:spacing w:val="-3"/>
              </w:rPr>
            </w:pPr>
            <w:r>
              <w:rPr>
                <w:noProof/>
                <w:spacing w:val="-3"/>
              </w:rPr>
              <w:t>SO</w:t>
            </w:r>
            <w:r>
              <w:rPr>
                <w:noProof/>
                <w:spacing w:val="-3"/>
                <w:vertAlign w:val="subscript"/>
              </w:rPr>
              <w:t>x</w:t>
            </w:r>
          </w:p>
        </w:tc>
        <w:tc>
          <w:tcPr>
            <w:tcW w:w="1260" w:type="dxa"/>
            <w:tcBorders>
              <w:top w:val="single" w:sz="6" w:space="0" w:color="auto"/>
              <w:left w:val="single" w:sz="6" w:space="0" w:color="auto"/>
            </w:tcBorders>
            <w:shd w:val="clear" w:color="auto" w:fill="auto"/>
            <w:vAlign w:val="center"/>
          </w:tcPr>
          <w:p w:rsidR="00DB5DB6" w:rsidRDefault="006E416D">
            <w:pPr>
              <w:suppressAutoHyphens/>
              <w:jc w:val="center"/>
              <w:rPr>
                <w:spacing w:val="-3"/>
              </w:rPr>
            </w:pPr>
            <w:r>
              <w:rPr>
                <w:spacing w:val="-3"/>
              </w:rPr>
              <w:t>0</w:t>
            </w:r>
          </w:p>
        </w:tc>
        <w:tc>
          <w:tcPr>
            <w:tcW w:w="1139" w:type="dxa"/>
            <w:tcBorders>
              <w:top w:val="single" w:sz="6" w:space="0" w:color="auto"/>
              <w:left w:val="single" w:sz="6" w:space="0" w:color="auto"/>
              <w:right w:val="single" w:sz="6" w:space="0" w:color="auto"/>
            </w:tcBorders>
            <w:shd w:val="clear" w:color="auto" w:fill="auto"/>
            <w:vAlign w:val="center"/>
          </w:tcPr>
          <w:p w:rsidR="00DB5DB6" w:rsidRDefault="006E416D">
            <w:pPr>
              <w:suppressAutoHyphens/>
              <w:jc w:val="center"/>
              <w:rPr>
                <w:spacing w:val="-3"/>
              </w:rPr>
            </w:pPr>
            <w:r>
              <w:rPr>
                <w:spacing w:val="-3"/>
              </w:rPr>
              <w:t>0</w:t>
            </w:r>
          </w:p>
        </w:tc>
        <w:tc>
          <w:tcPr>
            <w:tcW w:w="1381" w:type="dxa"/>
            <w:tcBorders>
              <w:top w:val="single" w:sz="6" w:space="0" w:color="auto"/>
              <w:left w:val="single" w:sz="6" w:space="0" w:color="auto"/>
            </w:tcBorders>
            <w:shd w:val="clear" w:color="auto" w:fill="auto"/>
            <w:vAlign w:val="center"/>
          </w:tcPr>
          <w:p w:rsidR="00DB5DB6" w:rsidRDefault="006E416D">
            <w:pPr>
              <w:suppressAutoHyphens/>
              <w:jc w:val="center"/>
              <w:rPr>
                <w:spacing w:val="-3"/>
              </w:rPr>
            </w:pPr>
            <w:r>
              <w:rPr>
                <w:spacing w:val="-3"/>
              </w:rPr>
              <w:t>0</w:t>
            </w:r>
          </w:p>
        </w:tc>
        <w:tc>
          <w:tcPr>
            <w:tcW w:w="2160" w:type="dxa"/>
            <w:tcBorders>
              <w:top w:val="single" w:sz="6" w:space="0" w:color="auto"/>
              <w:left w:val="single" w:sz="6" w:space="0" w:color="auto"/>
            </w:tcBorders>
            <w:shd w:val="clear" w:color="auto" w:fill="auto"/>
            <w:vAlign w:val="center"/>
          </w:tcPr>
          <w:p w:rsidR="00DB5DB6" w:rsidRDefault="00DB5DB6">
            <w:pPr>
              <w:suppressAutoHyphens/>
              <w:jc w:val="center"/>
              <w:rPr>
                <w:spacing w:val="-3"/>
              </w:rPr>
            </w:pPr>
            <w:r>
              <w:rPr>
                <w:spacing w:val="-3"/>
              </w:rPr>
              <w:t>20,000 lb/year</w:t>
            </w:r>
          </w:p>
        </w:tc>
        <w:tc>
          <w:tcPr>
            <w:tcW w:w="1620" w:type="dxa"/>
            <w:tcBorders>
              <w:top w:val="single" w:sz="6" w:space="0" w:color="auto"/>
              <w:left w:val="single" w:sz="6" w:space="0" w:color="auto"/>
              <w:right w:val="double" w:sz="6" w:space="0" w:color="auto"/>
            </w:tcBorders>
            <w:shd w:val="clear" w:color="auto" w:fill="auto"/>
            <w:vAlign w:val="center"/>
          </w:tcPr>
          <w:p w:rsidR="00DB5DB6" w:rsidRDefault="00DB5DB6">
            <w:pPr>
              <w:suppressAutoHyphens/>
              <w:jc w:val="center"/>
              <w:rPr>
                <w:spacing w:val="-3"/>
              </w:rPr>
            </w:pPr>
            <w:r>
              <w:rPr>
                <w:spacing w:val="-3"/>
              </w:rPr>
              <w:t>No</w:t>
            </w:r>
          </w:p>
        </w:tc>
      </w:tr>
      <w:tr w:rsidR="00DB5DB6" w:rsidTr="00D917EC">
        <w:tc>
          <w:tcPr>
            <w:tcW w:w="1350" w:type="dxa"/>
            <w:tcBorders>
              <w:top w:val="single" w:sz="6" w:space="0" w:color="auto"/>
              <w:left w:val="double" w:sz="6" w:space="0" w:color="auto"/>
            </w:tcBorders>
            <w:shd w:val="clear" w:color="auto" w:fill="auto"/>
            <w:vAlign w:val="center"/>
          </w:tcPr>
          <w:p w:rsidR="00DB5DB6" w:rsidRDefault="00DB5DB6">
            <w:pPr>
              <w:suppressAutoHyphens/>
              <w:jc w:val="center"/>
              <w:rPr>
                <w:spacing w:val="-3"/>
              </w:rPr>
            </w:pPr>
            <w:r>
              <w:rPr>
                <w:spacing w:val="-3"/>
              </w:rPr>
              <w:t>PM</w:t>
            </w:r>
            <w:r>
              <w:rPr>
                <w:spacing w:val="-3"/>
                <w:vertAlign w:val="subscript"/>
              </w:rPr>
              <w:t>10</w:t>
            </w:r>
          </w:p>
        </w:tc>
        <w:tc>
          <w:tcPr>
            <w:tcW w:w="1260" w:type="dxa"/>
            <w:tcBorders>
              <w:top w:val="single" w:sz="6" w:space="0" w:color="auto"/>
              <w:left w:val="single" w:sz="6" w:space="0" w:color="auto"/>
            </w:tcBorders>
            <w:shd w:val="clear" w:color="auto" w:fill="auto"/>
            <w:vAlign w:val="center"/>
          </w:tcPr>
          <w:p w:rsidR="00DB5DB6" w:rsidRDefault="006E416D">
            <w:pPr>
              <w:suppressAutoHyphens/>
              <w:jc w:val="center"/>
              <w:rPr>
                <w:spacing w:val="-3"/>
              </w:rPr>
            </w:pPr>
            <w:r>
              <w:rPr>
                <w:spacing w:val="-3"/>
              </w:rPr>
              <w:t>0</w:t>
            </w:r>
          </w:p>
        </w:tc>
        <w:tc>
          <w:tcPr>
            <w:tcW w:w="1139" w:type="dxa"/>
            <w:tcBorders>
              <w:top w:val="single" w:sz="6" w:space="0" w:color="auto"/>
              <w:left w:val="single" w:sz="6" w:space="0" w:color="auto"/>
              <w:right w:val="single" w:sz="6" w:space="0" w:color="auto"/>
            </w:tcBorders>
            <w:shd w:val="clear" w:color="auto" w:fill="auto"/>
            <w:vAlign w:val="center"/>
          </w:tcPr>
          <w:p w:rsidR="00DB5DB6" w:rsidRDefault="006E416D">
            <w:pPr>
              <w:suppressAutoHyphens/>
              <w:jc w:val="center"/>
              <w:rPr>
                <w:spacing w:val="-3"/>
              </w:rPr>
            </w:pPr>
            <w:r>
              <w:rPr>
                <w:spacing w:val="-3"/>
              </w:rPr>
              <w:t>0</w:t>
            </w:r>
          </w:p>
        </w:tc>
        <w:tc>
          <w:tcPr>
            <w:tcW w:w="1381" w:type="dxa"/>
            <w:tcBorders>
              <w:top w:val="single" w:sz="6" w:space="0" w:color="auto"/>
              <w:left w:val="single" w:sz="6" w:space="0" w:color="auto"/>
            </w:tcBorders>
            <w:shd w:val="clear" w:color="auto" w:fill="auto"/>
            <w:vAlign w:val="center"/>
          </w:tcPr>
          <w:p w:rsidR="00DB5DB6" w:rsidRDefault="006E416D">
            <w:pPr>
              <w:suppressAutoHyphens/>
              <w:jc w:val="center"/>
              <w:rPr>
                <w:spacing w:val="-3"/>
              </w:rPr>
            </w:pPr>
            <w:r>
              <w:rPr>
                <w:spacing w:val="-3"/>
              </w:rPr>
              <w:t>0</w:t>
            </w:r>
          </w:p>
        </w:tc>
        <w:tc>
          <w:tcPr>
            <w:tcW w:w="2160" w:type="dxa"/>
            <w:tcBorders>
              <w:top w:val="single" w:sz="6" w:space="0" w:color="auto"/>
              <w:left w:val="single" w:sz="6" w:space="0" w:color="auto"/>
            </w:tcBorders>
            <w:shd w:val="clear" w:color="auto" w:fill="auto"/>
            <w:vAlign w:val="center"/>
          </w:tcPr>
          <w:p w:rsidR="00DB5DB6" w:rsidRDefault="00DB5DB6">
            <w:pPr>
              <w:suppressAutoHyphens/>
              <w:jc w:val="center"/>
              <w:rPr>
                <w:spacing w:val="-3"/>
              </w:rPr>
            </w:pPr>
            <w:r>
              <w:rPr>
                <w:spacing w:val="-3"/>
              </w:rPr>
              <w:t>20,000 lb/year</w:t>
            </w:r>
          </w:p>
        </w:tc>
        <w:tc>
          <w:tcPr>
            <w:tcW w:w="1620" w:type="dxa"/>
            <w:tcBorders>
              <w:top w:val="single" w:sz="6" w:space="0" w:color="auto"/>
              <w:left w:val="single" w:sz="6" w:space="0" w:color="auto"/>
              <w:right w:val="double" w:sz="6" w:space="0" w:color="auto"/>
            </w:tcBorders>
            <w:shd w:val="clear" w:color="auto" w:fill="auto"/>
            <w:vAlign w:val="center"/>
          </w:tcPr>
          <w:p w:rsidR="00DB5DB6" w:rsidRDefault="00DB5DB6">
            <w:pPr>
              <w:suppressAutoHyphens/>
              <w:jc w:val="center"/>
              <w:rPr>
                <w:spacing w:val="-3"/>
              </w:rPr>
            </w:pPr>
            <w:r>
              <w:rPr>
                <w:spacing w:val="-3"/>
              </w:rPr>
              <w:t>No</w:t>
            </w:r>
          </w:p>
        </w:tc>
      </w:tr>
      <w:tr w:rsidR="00DB5DB6" w:rsidTr="00D917EC">
        <w:tc>
          <w:tcPr>
            <w:tcW w:w="1350" w:type="dxa"/>
            <w:tcBorders>
              <w:top w:val="single" w:sz="6" w:space="0" w:color="auto"/>
              <w:left w:val="double" w:sz="6" w:space="0" w:color="auto"/>
            </w:tcBorders>
            <w:shd w:val="clear" w:color="auto" w:fill="auto"/>
            <w:vAlign w:val="center"/>
          </w:tcPr>
          <w:p w:rsidR="00DB5DB6" w:rsidRDefault="00DB5DB6">
            <w:pPr>
              <w:suppressAutoHyphens/>
              <w:jc w:val="center"/>
              <w:rPr>
                <w:spacing w:val="-3"/>
              </w:rPr>
            </w:pPr>
            <w:r>
              <w:rPr>
                <w:spacing w:val="-3"/>
              </w:rPr>
              <w:t>CO</w:t>
            </w:r>
          </w:p>
        </w:tc>
        <w:tc>
          <w:tcPr>
            <w:tcW w:w="1260" w:type="dxa"/>
            <w:tcBorders>
              <w:top w:val="single" w:sz="6" w:space="0" w:color="auto"/>
              <w:left w:val="single" w:sz="6" w:space="0" w:color="auto"/>
            </w:tcBorders>
            <w:shd w:val="clear" w:color="auto" w:fill="auto"/>
            <w:vAlign w:val="center"/>
          </w:tcPr>
          <w:p w:rsidR="00DB5DB6" w:rsidRDefault="006E416D">
            <w:pPr>
              <w:suppressAutoHyphens/>
              <w:jc w:val="center"/>
              <w:rPr>
                <w:spacing w:val="-3"/>
              </w:rPr>
            </w:pPr>
            <w:r>
              <w:rPr>
                <w:spacing w:val="-3"/>
              </w:rPr>
              <w:t>0</w:t>
            </w:r>
          </w:p>
        </w:tc>
        <w:tc>
          <w:tcPr>
            <w:tcW w:w="1139" w:type="dxa"/>
            <w:tcBorders>
              <w:top w:val="single" w:sz="6" w:space="0" w:color="auto"/>
              <w:left w:val="single" w:sz="6" w:space="0" w:color="auto"/>
              <w:right w:val="single" w:sz="6" w:space="0" w:color="auto"/>
            </w:tcBorders>
            <w:shd w:val="clear" w:color="auto" w:fill="auto"/>
            <w:vAlign w:val="center"/>
          </w:tcPr>
          <w:p w:rsidR="00DB5DB6" w:rsidRDefault="006E416D">
            <w:pPr>
              <w:suppressAutoHyphens/>
              <w:jc w:val="center"/>
              <w:rPr>
                <w:spacing w:val="-3"/>
              </w:rPr>
            </w:pPr>
            <w:r>
              <w:rPr>
                <w:spacing w:val="-3"/>
              </w:rPr>
              <w:t>0</w:t>
            </w:r>
          </w:p>
        </w:tc>
        <w:tc>
          <w:tcPr>
            <w:tcW w:w="1381" w:type="dxa"/>
            <w:tcBorders>
              <w:top w:val="single" w:sz="6" w:space="0" w:color="auto"/>
              <w:left w:val="single" w:sz="6" w:space="0" w:color="auto"/>
            </w:tcBorders>
            <w:shd w:val="clear" w:color="auto" w:fill="auto"/>
            <w:vAlign w:val="center"/>
          </w:tcPr>
          <w:p w:rsidR="00DB5DB6" w:rsidRDefault="006E416D">
            <w:pPr>
              <w:suppressAutoHyphens/>
              <w:jc w:val="center"/>
              <w:rPr>
                <w:spacing w:val="-3"/>
              </w:rPr>
            </w:pPr>
            <w:r>
              <w:rPr>
                <w:spacing w:val="-3"/>
              </w:rPr>
              <w:t>0</w:t>
            </w:r>
          </w:p>
        </w:tc>
        <w:tc>
          <w:tcPr>
            <w:tcW w:w="2160" w:type="dxa"/>
            <w:tcBorders>
              <w:top w:val="single" w:sz="6" w:space="0" w:color="auto"/>
              <w:left w:val="single" w:sz="6" w:space="0" w:color="auto"/>
            </w:tcBorders>
            <w:shd w:val="clear" w:color="auto" w:fill="auto"/>
            <w:vAlign w:val="center"/>
          </w:tcPr>
          <w:p w:rsidR="00DB5DB6" w:rsidRDefault="00DB5DB6">
            <w:pPr>
              <w:suppressAutoHyphens/>
              <w:jc w:val="center"/>
              <w:rPr>
                <w:spacing w:val="-3"/>
              </w:rPr>
            </w:pPr>
            <w:r>
              <w:rPr>
                <w:spacing w:val="-3"/>
              </w:rPr>
              <w:t>20,000 lb/year</w:t>
            </w:r>
          </w:p>
        </w:tc>
        <w:tc>
          <w:tcPr>
            <w:tcW w:w="1620" w:type="dxa"/>
            <w:tcBorders>
              <w:top w:val="single" w:sz="6" w:space="0" w:color="auto"/>
              <w:left w:val="single" w:sz="6" w:space="0" w:color="auto"/>
              <w:right w:val="double" w:sz="6" w:space="0" w:color="auto"/>
            </w:tcBorders>
            <w:shd w:val="clear" w:color="auto" w:fill="auto"/>
            <w:vAlign w:val="center"/>
          </w:tcPr>
          <w:p w:rsidR="00DB5DB6" w:rsidRDefault="006E416D" w:rsidP="006E416D">
            <w:pPr>
              <w:suppressAutoHyphens/>
              <w:jc w:val="center"/>
              <w:rPr>
                <w:spacing w:val="-3"/>
              </w:rPr>
            </w:pPr>
            <w:r>
              <w:rPr>
                <w:spacing w:val="-3"/>
              </w:rPr>
              <w:t>No</w:t>
            </w:r>
          </w:p>
        </w:tc>
      </w:tr>
      <w:tr w:rsidR="00DB5DB6" w:rsidTr="00D917EC">
        <w:tc>
          <w:tcPr>
            <w:tcW w:w="1350" w:type="dxa"/>
            <w:tcBorders>
              <w:top w:val="single" w:sz="6" w:space="0" w:color="auto"/>
              <w:left w:val="double" w:sz="6" w:space="0" w:color="auto"/>
              <w:bottom w:val="double" w:sz="6" w:space="0" w:color="auto"/>
            </w:tcBorders>
            <w:shd w:val="clear" w:color="auto" w:fill="auto"/>
            <w:vAlign w:val="center"/>
          </w:tcPr>
          <w:p w:rsidR="00DB5DB6" w:rsidRDefault="00DB5DB6">
            <w:pPr>
              <w:suppressAutoHyphens/>
              <w:jc w:val="center"/>
              <w:rPr>
                <w:spacing w:val="-3"/>
              </w:rPr>
            </w:pPr>
            <w:r>
              <w:rPr>
                <w:spacing w:val="-3"/>
              </w:rPr>
              <w:t>VOC</w:t>
            </w:r>
          </w:p>
        </w:tc>
        <w:tc>
          <w:tcPr>
            <w:tcW w:w="1260" w:type="dxa"/>
            <w:tcBorders>
              <w:top w:val="single" w:sz="6" w:space="0" w:color="auto"/>
              <w:left w:val="single" w:sz="6" w:space="0" w:color="auto"/>
              <w:bottom w:val="double" w:sz="6" w:space="0" w:color="auto"/>
            </w:tcBorders>
            <w:shd w:val="clear" w:color="auto" w:fill="auto"/>
            <w:vAlign w:val="center"/>
          </w:tcPr>
          <w:p w:rsidR="00DB5DB6" w:rsidRDefault="00C33D00">
            <w:pPr>
              <w:suppressAutoHyphens/>
              <w:jc w:val="center"/>
              <w:rPr>
                <w:spacing w:val="-3"/>
              </w:rPr>
            </w:pPr>
            <w:r>
              <w:rPr>
                <w:spacing w:val="-3"/>
              </w:rPr>
              <w:t>22,00</w:t>
            </w:r>
            <w:r w:rsidR="006E416D">
              <w:rPr>
                <w:spacing w:val="-3"/>
              </w:rPr>
              <w:t>0</w:t>
            </w:r>
          </w:p>
        </w:tc>
        <w:tc>
          <w:tcPr>
            <w:tcW w:w="1139" w:type="dxa"/>
            <w:tcBorders>
              <w:top w:val="single" w:sz="6" w:space="0" w:color="auto"/>
              <w:left w:val="single" w:sz="6" w:space="0" w:color="auto"/>
              <w:bottom w:val="double" w:sz="6" w:space="0" w:color="auto"/>
              <w:right w:val="single" w:sz="6" w:space="0" w:color="auto"/>
            </w:tcBorders>
            <w:shd w:val="clear" w:color="auto" w:fill="auto"/>
            <w:vAlign w:val="center"/>
          </w:tcPr>
          <w:p w:rsidR="00DB5DB6" w:rsidRDefault="006E416D">
            <w:pPr>
              <w:suppressAutoHyphens/>
              <w:jc w:val="center"/>
              <w:rPr>
                <w:spacing w:val="-3"/>
              </w:rPr>
            </w:pPr>
            <w:r>
              <w:rPr>
                <w:spacing w:val="-3"/>
              </w:rPr>
              <w:t>0</w:t>
            </w:r>
          </w:p>
        </w:tc>
        <w:tc>
          <w:tcPr>
            <w:tcW w:w="1381" w:type="dxa"/>
            <w:tcBorders>
              <w:top w:val="single" w:sz="6" w:space="0" w:color="auto"/>
              <w:left w:val="single" w:sz="6" w:space="0" w:color="auto"/>
              <w:bottom w:val="double" w:sz="6" w:space="0" w:color="auto"/>
            </w:tcBorders>
            <w:shd w:val="clear" w:color="auto" w:fill="auto"/>
            <w:vAlign w:val="center"/>
          </w:tcPr>
          <w:p w:rsidR="00DB5DB6" w:rsidRDefault="00C33D00">
            <w:pPr>
              <w:suppressAutoHyphens/>
              <w:jc w:val="center"/>
              <w:rPr>
                <w:spacing w:val="-3"/>
              </w:rPr>
            </w:pPr>
            <w:r>
              <w:rPr>
                <w:spacing w:val="-3"/>
              </w:rPr>
              <w:t>22,00</w:t>
            </w:r>
            <w:r w:rsidR="006E416D">
              <w:rPr>
                <w:spacing w:val="-3"/>
              </w:rPr>
              <w:t>0</w:t>
            </w:r>
          </w:p>
        </w:tc>
        <w:tc>
          <w:tcPr>
            <w:tcW w:w="2160" w:type="dxa"/>
            <w:tcBorders>
              <w:top w:val="single" w:sz="6" w:space="0" w:color="auto"/>
              <w:left w:val="single" w:sz="6" w:space="0" w:color="auto"/>
              <w:bottom w:val="double" w:sz="6" w:space="0" w:color="auto"/>
            </w:tcBorders>
            <w:shd w:val="clear" w:color="auto" w:fill="auto"/>
            <w:vAlign w:val="center"/>
          </w:tcPr>
          <w:p w:rsidR="00DB5DB6" w:rsidRDefault="00DB5DB6">
            <w:pPr>
              <w:suppressAutoHyphens/>
              <w:jc w:val="center"/>
              <w:rPr>
                <w:spacing w:val="-3"/>
              </w:rPr>
            </w:pPr>
            <w:r>
              <w:rPr>
                <w:spacing w:val="-3"/>
              </w:rPr>
              <w:t>20,000 lb/year</w:t>
            </w:r>
          </w:p>
        </w:tc>
        <w:tc>
          <w:tcPr>
            <w:tcW w:w="1620" w:type="dxa"/>
            <w:tcBorders>
              <w:top w:val="single" w:sz="6" w:space="0" w:color="auto"/>
              <w:left w:val="single" w:sz="6" w:space="0" w:color="auto"/>
              <w:bottom w:val="double" w:sz="6" w:space="0" w:color="auto"/>
              <w:right w:val="double" w:sz="6" w:space="0" w:color="auto"/>
            </w:tcBorders>
            <w:shd w:val="clear" w:color="auto" w:fill="auto"/>
            <w:vAlign w:val="center"/>
          </w:tcPr>
          <w:p w:rsidR="00DB5DB6" w:rsidRDefault="00C33D00">
            <w:pPr>
              <w:suppressAutoHyphens/>
              <w:jc w:val="center"/>
              <w:rPr>
                <w:spacing w:val="-3"/>
              </w:rPr>
            </w:pPr>
            <w:r>
              <w:rPr>
                <w:spacing w:val="-3"/>
              </w:rPr>
              <w:t>Yes</w:t>
            </w:r>
          </w:p>
        </w:tc>
      </w:tr>
    </w:tbl>
    <w:p w:rsidR="00DB5DB6" w:rsidRDefault="00DB5DB6">
      <w:pPr>
        <w:ind w:left="1440"/>
        <w:rPr>
          <w:rFonts w:cs="Arial"/>
          <w:color w:val="000000"/>
          <w:spacing w:val="-3"/>
        </w:rPr>
      </w:pPr>
    </w:p>
    <w:p w:rsidR="00DB5DB6" w:rsidRDefault="00DB5DB6">
      <w:pPr>
        <w:tabs>
          <w:tab w:val="left" w:pos="1080"/>
        </w:tabs>
        <w:ind w:left="1080"/>
      </w:pPr>
      <w:r>
        <w:t xml:space="preserve">As demonstrated above, the SSIPEs for </w:t>
      </w:r>
      <w:r w:rsidR="00C33D00">
        <w:t>VOC was</w:t>
      </w:r>
      <w:r>
        <w:t xml:space="preserve"> greater than 20,000 lb/year; therefore public noticing for SSIPE purposes is required.</w:t>
      </w:r>
    </w:p>
    <w:p w:rsidR="00DB5DB6" w:rsidRDefault="00DB5DB6">
      <w:pPr>
        <w:suppressAutoHyphens/>
        <w:ind w:left="2520"/>
        <w:jc w:val="both"/>
        <w:rPr>
          <w:spacing w:val="-3"/>
        </w:rPr>
      </w:pPr>
    </w:p>
    <w:p w:rsidR="00DB5DB6" w:rsidRDefault="00DB5DB6">
      <w:pPr>
        <w:pStyle w:val="Heading4"/>
        <w:rPr>
          <w:spacing w:val="-3"/>
        </w:rPr>
      </w:pPr>
      <w:r>
        <w:t>Public Notice Action</w:t>
      </w:r>
    </w:p>
    <w:p w:rsidR="00DB5DB6" w:rsidRDefault="00DB5DB6">
      <w:pPr>
        <w:suppressAutoHyphens/>
        <w:ind w:left="1800"/>
        <w:jc w:val="both"/>
        <w:rPr>
          <w:spacing w:val="-3"/>
        </w:rPr>
      </w:pPr>
    </w:p>
    <w:p w:rsidR="00DB5DB6" w:rsidRDefault="00DB5DB6">
      <w:pPr>
        <w:tabs>
          <w:tab w:val="left" w:pos="2250"/>
        </w:tabs>
        <w:autoSpaceDE w:val="0"/>
        <w:autoSpaceDN w:val="0"/>
        <w:adjustRightInd w:val="0"/>
        <w:ind w:left="1080"/>
        <w:rPr>
          <w:i/>
          <w:iCs/>
          <w:color w:val="0000FF"/>
        </w:rPr>
      </w:pPr>
      <w:r>
        <w:rPr>
          <w:i/>
          <w:iCs/>
          <w:color w:val="0000FF"/>
          <w:u w:val="single"/>
        </w:rPr>
        <w:t>Example (a)</w:t>
      </w:r>
      <w:r>
        <w:rPr>
          <w:i/>
          <w:iCs/>
          <w:color w:val="0000FF"/>
        </w:rPr>
        <w:t>:</w:t>
      </w:r>
      <w:r>
        <w:rPr>
          <w:i/>
          <w:iCs/>
          <w:color w:val="0000FF"/>
        </w:rPr>
        <w:tab/>
        <w:t>(For a project not requiring public notification.)</w:t>
      </w:r>
    </w:p>
    <w:p w:rsidR="00DB5DB6" w:rsidRDefault="00DB5DB6">
      <w:pPr>
        <w:ind w:left="1080"/>
        <w:rPr>
          <w:spacing w:val="-3"/>
        </w:rPr>
      </w:pPr>
      <w:r>
        <w:t>As discussed above, this project will not result in emissions, for any criteria pollutant, which would subject the project to any of the noticing requirements listed above.  Therefore, public notice will not be required for this project.</w:t>
      </w:r>
    </w:p>
    <w:p w:rsidR="00DB5DB6" w:rsidRDefault="00DB5DB6">
      <w:pPr>
        <w:ind w:left="1080"/>
        <w:rPr>
          <w:spacing w:val="-3"/>
        </w:rPr>
      </w:pPr>
    </w:p>
    <w:p w:rsidR="00DB5DB6" w:rsidRDefault="00DB5DB6">
      <w:pPr>
        <w:tabs>
          <w:tab w:val="left" w:pos="2250"/>
        </w:tabs>
        <w:autoSpaceDE w:val="0"/>
        <w:autoSpaceDN w:val="0"/>
        <w:adjustRightInd w:val="0"/>
        <w:ind w:left="1080"/>
        <w:rPr>
          <w:i/>
          <w:iCs/>
          <w:color w:val="0000FF"/>
        </w:rPr>
      </w:pPr>
      <w:r>
        <w:rPr>
          <w:i/>
          <w:iCs/>
          <w:color w:val="0000FF"/>
          <w:u w:val="single"/>
        </w:rPr>
        <w:t>Example (b)</w:t>
      </w:r>
      <w:r>
        <w:rPr>
          <w:i/>
          <w:iCs/>
          <w:color w:val="0000FF"/>
        </w:rPr>
        <w:t>:</w:t>
      </w:r>
      <w:r>
        <w:rPr>
          <w:i/>
          <w:iCs/>
          <w:color w:val="0000FF"/>
        </w:rPr>
        <w:tab/>
        <w:t>(For a project requiring public notification – PE &gt; 100 lb/day.)</w:t>
      </w:r>
    </w:p>
    <w:p w:rsidR="00DB5DB6" w:rsidRDefault="00DB5DB6">
      <w:pPr>
        <w:ind w:left="1080"/>
        <w:rPr>
          <w:color w:val="000000"/>
        </w:rPr>
      </w:pPr>
      <w:r>
        <w:rPr>
          <w:color w:val="000000"/>
        </w:rPr>
        <w:t>As discussed above, public noticing is required for this project for NO</w:t>
      </w:r>
      <w:r>
        <w:rPr>
          <w:color w:val="000000"/>
          <w:vertAlign w:val="subscript"/>
        </w:rPr>
        <w:t>X</w:t>
      </w:r>
      <w:r>
        <w:rPr>
          <w:color w:val="000000"/>
        </w:rPr>
        <w:t xml:space="preserve"> emissions in excess of 100 lb/day.  Therefore, public notice documents will be submitted to the California Air Resources Board (CARB) and a public notice will be published in a </w:t>
      </w:r>
      <w:r>
        <w:rPr>
          <w:color w:val="000000"/>
        </w:rPr>
        <w:lastRenderedPageBreak/>
        <w:t>local newspaper of general circulation prior to the issuance of the ATC for this equipment.</w:t>
      </w:r>
    </w:p>
    <w:p w:rsidR="00DB5DB6" w:rsidRDefault="00DB5DB6">
      <w:pPr>
        <w:ind w:left="1080"/>
        <w:rPr>
          <w:bCs/>
          <w:color w:val="000000"/>
        </w:rPr>
      </w:pPr>
    </w:p>
    <w:p w:rsidR="00DB5DB6" w:rsidRDefault="00DB5DB6">
      <w:pPr>
        <w:ind w:left="1080"/>
        <w:rPr>
          <w:i/>
          <w:iCs/>
          <w:color w:val="FF0000"/>
        </w:rPr>
      </w:pPr>
      <w:r>
        <w:rPr>
          <w:i/>
          <w:iCs/>
          <w:color w:val="FF0000"/>
        </w:rPr>
        <w:t>(</w:t>
      </w:r>
      <w:r>
        <w:rPr>
          <w:i/>
          <w:iCs/>
          <w:color w:val="FF0000"/>
          <w:u w:val="single"/>
        </w:rPr>
        <w:t>Note</w:t>
      </w:r>
      <w:r>
        <w:rPr>
          <w:i/>
          <w:iCs/>
          <w:color w:val="FF0000"/>
        </w:rPr>
        <w:t>: When public notification is required an additional section in the EE gets added, Section VIII-Rule 2201-F, see below)</w:t>
      </w:r>
    </w:p>
    <w:p w:rsidR="00DB5DB6" w:rsidRDefault="00DB5DB6">
      <w:pPr>
        <w:suppressAutoHyphens/>
        <w:ind w:left="1440"/>
        <w:jc w:val="both"/>
        <w:rPr>
          <w:spacing w:val="-3"/>
        </w:rPr>
      </w:pPr>
    </w:p>
    <w:p w:rsidR="00DB5DB6" w:rsidRDefault="00DB5DB6">
      <w:pPr>
        <w:pStyle w:val="Heading2"/>
      </w:pPr>
      <w:r>
        <w:t>Daily Emissions Limits (DEL)</w:t>
      </w:r>
    </w:p>
    <w:p w:rsidR="00DB5DB6" w:rsidRDefault="00DB5DB6">
      <w:pPr>
        <w:suppressAutoHyphens/>
        <w:ind w:left="720"/>
        <w:jc w:val="both"/>
        <w:rPr>
          <w:spacing w:val="-3"/>
        </w:rPr>
      </w:pPr>
    </w:p>
    <w:p w:rsidR="00DB5DB6" w:rsidRDefault="00DB5DB6">
      <w:pPr>
        <w:suppressAutoHyphens/>
        <w:ind w:left="360"/>
      </w:pPr>
      <w:r>
        <w:t>Daily Emissions Limitations (DELs) and other enforceable conditions are required by Section 3.15 to restrict a unit’s maximum daily emissions, to a level at or below the emissions associated with the maximum design capacity.  Per Sections 3.15.1 and 3.15.2, the DEL must be contained in the latest ATC and contained in or enforced by the latest PTO and enforceable, in a practicable manner, on a daily basis. DELs are also required to enforce the applicability of BACT.</w:t>
      </w:r>
    </w:p>
    <w:p w:rsidR="00DB5DB6" w:rsidRDefault="00DB5DB6">
      <w:pPr>
        <w:pStyle w:val="EndnoteText"/>
        <w:tabs>
          <w:tab w:val="left" w:pos="240"/>
          <w:tab w:val="left" w:pos="1080"/>
        </w:tabs>
        <w:rPr>
          <w:spacing w:val="0"/>
        </w:rPr>
      </w:pPr>
    </w:p>
    <w:p w:rsidR="00DB5DB6" w:rsidRDefault="00DB5DB6">
      <w:pPr>
        <w:numPr>
          <w:ilvl w:val="0"/>
          <w:numId w:val="9"/>
        </w:numPr>
        <w:tabs>
          <w:tab w:val="left" w:pos="240"/>
          <w:tab w:val="left" w:pos="1080"/>
        </w:tabs>
      </w:pPr>
      <w:r>
        <w:t>{1463 modified} The total controlled VOC emissions from the soil remediation system shall not exceed XX pounds in any one day. [District Rule 2201]</w:t>
      </w:r>
    </w:p>
    <w:p w:rsidR="00DB5DB6" w:rsidRDefault="00DB5DB6">
      <w:pPr>
        <w:suppressAutoHyphens/>
        <w:ind w:left="360"/>
      </w:pPr>
    </w:p>
    <w:p w:rsidR="00DB5DB6" w:rsidRDefault="00DB5DB6">
      <w:pPr>
        <w:numPr>
          <w:ilvl w:val="0"/>
          <w:numId w:val="9"/>
        </w:numPr>
        <w:suppressAutoHyphens/>
      </w:pPr>
      <w:r>
        <w:t>The effluent VOC concentration level after the control device shall not exceed xxx ppmv, as methane. [District Rule 2201]</w:t>
      </w:r>
    </w:p>
    <w:p w:rsidR="00DB5DB6" w:rsidRDefault="00DB5DB6">
      <w:pPr>
        <w:suppressAutoHyphens/>
        <w:ind w:left="720"/>
        <w:jc w:val="both"/>
      </w:pPr>
    </w:p>
    <w:p w:rsidR="00DB5DB6" w:rsidRDefault="00DB5DB6">
      <w:pPr>
        <w:pStyle w:val="Heading2"/>
        <w:rPr>
          <w:u w:val="single"/>
        </w:rPr>
      </w:pPr>
      <w:r>
        <w:t>Compliance Assurance</w:t>
      </w:r>
    </w:p>
    <w:p w:rsidR="00DB5DB6" w:rsidRDefault="00DB5DB6">
      <w:pPr>
        <w:suppressAutoHyphens/>
        <w:ind w:left="720"/>
      </w:pPr>
    </w:p>
    <w:p w:rsidR="00DB5DB6" w:rsidRDefault="00DB5DB6">
      <w:pPr>
        <w:suppressAutoHyphens/>
        <w:ind w:left="360"/>
      </w:pPr>
      <w:r>
        <w:t>The following measures shall be taken to ensure continued compliance with District Rules:</w:t>
      </w:r>
    </w:p>
    <w:p w:rsidR="00DB5DB6" w:rsidRDefault="00DB5DB6">
      <w:pPr>
        <w:suppressAutoHyphens/>
        <w:ind w:left="1440"/>
        <w:jc w:val="both"/>
        <w:rPr>
          <w:spacing w:val="-3"/>
        </w:rPr>
      </w:pPr>
    </w:p>
    <w:p w:rsidR="00DB5DB6" w:rsidRDefault="00DB5DB6">
      <w:pPr>
        <w:pStyle w:val="Heading3"/>
      </w:pPr>
      <w:r>
        <w:t>Source Testing</w:t>
      </w:r>
    </w:p>
    <w:p w:rsidR="00DB5DB6" w:rsidRDefault="00DB5DB6">
      <w:pPr>
        <w:suppressAutoHyphens/>
        <w:ind w:left="1440"/>
        <w:jc w:val="both"/>
        <w:rPr>
          <w:b/>
          <w:spacing w:val="-3"/>
        </w:rPr>
      </w:pPr>
    </w:p>
    <w:p w:rsidR="00DB5DB6" w:rsidRDefault="00DB5DB6">
      <w:pPr>
        <w:pStyle w:val="BodyTextIndent3"/>
        <w:ind w:left="720"/>
        <w:jc w:val="left"/>
      </w:pPr>
      <w:r>
        <w:t>VOC source testing upon initial startup is required.</w:t>
      </w:r>
    </w:p>
    <w:p w:rsidR="00DB5DB6" w:rsidRDefault="00DB5DB6">
      <w:pPr>
        <w:pStyle w:val="BodyTextIndent3"/>
        <w:ind w:left="720"/>
        <w:jc w:val="left"/>
      </w:pPr>
    </w:p>
    <w:p w:rsidR="00DB5DB6" w:rsidRDefault="00DB5DB6">
      <w:pPr>
        <w:pStyle w:val="BodyTextIndent3"/>
        <w:numPr>
          <w:ilvl w:val="0"/>
          <w:numId w:val="12"/>
        </w:numPr>
        <w:jc w:val="left"/>
      </w:pPr>
      <w:r>
        <w:t>{1417} Initial compliance with VOC emission rate and control efficiency requirements shall be demonstrated by the results of the laboratory sample analysis.  The results shall be submitted to the District within 60 days of the test. [District Rule 1081]</w:t>
      </w:r>
    </w:p>
    <w:p w:rsidR="00DB5DB6" w:rsidRDefault="00DB5DB6">
      <w:pPr>
        <w:pStyle w:val="BodyTextIndent3"/>
        <w:ind w:left="720"/>
        <w:jc w:val="left"/>
      </w:pPr>
    </w:p>
    <w:p w:rsidR="00DB5DB6" w:rsidRDefault="00DB5DB6">
      <w:pPr>
        <w:pStyle w:val="BodyTextIndent3"/>
        <w:numPr>
          <w:ilvl w:val="0"/>
          <w:numId w:val="12"/>
        </w:numPr>
        <w:jc w:val="left"/>
      </w:pPr>
      <w:r>
        <w:t>{1414} Laboratory samples shall be taken at the initial inspection, under the supervision of the APCD Inspector.  Samples shall be taken from both the influent and the effluent gas stream sampling ports. [District Rule 1081]</w:t>
      </w:r>
    </w:p>
    <w:p w:rsidR="00DB5DB6" w:rsidRDefault="00DB5DB6">
      <w:pPr>
        <w:pStyle w:val="BodyTextIndent3"/>
        <w:ind w:left="720"/>
        <w:jc w:val="left"/>
      </w:pPr>
    </w:p>
    <w:p w:rsidR="00DB5DB6" w:rsidRDefault="00DB5DB6">
      <w:pPr>
        <w:numPr>
          <w:ilvl w:val="0"/>
          <w:numId w:val="12"/>
        </w:numPr>
      </w:pPr>
      <w:r>
        <w:t>{1416} Measurements to determine the influent and the effluent gas flow rates shall be taken at the initial inspection.  Flow rate calculations shall be submitted to the District along with the laboratory sample analysis results. [District Rule 1081]</w:t>
      </w:r>
    </w:p>
    <w:p w:rsidR="00DB5DB6" w:rsidRDefault="00DB5DB6">
      <w:pPr>
        <w:suppressAutoHyphens/>
        <w:ind w:left="1440"/>
        <w:jc w:val="both"/>
        <w:rPr>
          <w:spacing w:val="-3"/>
        </w:rPr>
      </w:pPr>
    </w:p>
    <w:p w:rsidR="00DB5DB6" w:rsidRDefault="00DB5DB6">
      <w:pPr>
        <w:pStyle w:val="Heading3"/>
      </w:pPr>
      <w:r>
        <w:t>Monitoring</w:t>
      </w:r>
    </w:p>
    <w:p w:rsidR="00DB5DB6" w:rsidRDefault="00DB5DB6">
      <w:pPr>
        <w:suppressAutoHyphens/>
        <w:ind w:left="1440"/>
        <w:jc w:val="both"/>
        <w:rPr>
          <w:spacing w:val="-3"/>
        </w:rPr>
      </w:pPr>
    </w:p>
    <w:p w:rsidR="00DB5DB6" w:rsidRDefault="00DB5DB6">
      <w:pPr>
        <w:pStyle w:val="BodyTextIndent"/>
        <w:jc w:val="left"/>
      </w:pPr>
      <w:r>
        <w:t xml:space="preserve">Monitoring of influent and exhaust VOC concentrations will be required weekly.   If the uncontrolled VOC emission rate is below 2.0 lb/day as demonstrated by five consecutive weekly samples, the control device may be taken off-line and sampling shall be performed </w:t>
      </w:r>
      <w:r>
        <w:lastRenderedPageBreak/>
        <w:t>monthly for ongoing demonstration to show that the uncontrolled VOC emissions are below 2.0 lb/day.</w:t>
      </w:r>
    </w:p>
    <w:p w:rsidR="00DB5DB6" w:rsidRDefault="00DB5DB6">
      <w:pPr>
        <w:pStyle w:val="BodyTextIndent"/>
        <w:jc w:val="left"/>
      </w:pPr>
    </w:p>
    <w:p w:rsidR="00DB5DB6" w:rsidRDefault="00DB5DB6">
      <w:pPr>
        <w:pStyle w:val="BodyTextIndent"/>
        <w:numPr>
          <w:ilvl w:val="0"/>
          <w:numId w:val="10"/>
        </w:numPr>
        <w:jc w:val="left"/>
      </w:pPr>
      <w:r>
        <w:t>Ongoing compliance with VOC emission rate and control efficiency requirements shall be demonstrated at least once per week by sampling both the influent and the effluent gas streams with an FID, PID, or other District-approved VOC detection device. [District Rule 1081]</w:t>
      </w:r>
    </w:p>
    <w:p w:rsidR="00DB5DB6" w:rsidRDefault="00DB5DB6">
      <w:pPr>
        <w:pStyle w:val="BodyTextIndent"/>
        <w:jc w:val="left"/>
      </w:pPr>
    </w:p>
    <w:p w:rsidR="00DB5DB6" w:rsidRDefault="00DB5DB6">
      <w:pPr>
        <w:pStyle w:val="BodyTextIndent"/>
        <w:numPr>
          <w:ilvl w:val="0"/>
          <w:numId w:val="10"/>
        </w:numPr>
      </w:pPr>
      <w:r>
        <w:t xml:space="preserve">Control device may be taken off-line after uncontrolled VOC emissions from the soil remediation operation do not exceed 2.0 lb/day, as demonstrated by five consecutive weekly samples using a FID, PID, or other District-approved VOC detection </w:t>
      </w:r>
      <w:r w:rsidR="007C7DA4">
        <w:t>device.</w:t>
      </w:r>
      <w:r>
        <w:t xml:space="preserve">  Once taken off-line, permittee shall conduct monthly sampling with a FID, PID, or other District-approved VOC detection device to ensure uncontrolled VOC emissions do not exceed 2.0 lb/day.  If uncontrolled VOC emissions exceed 2.0 lb/day, the control device shall be placed back on-line as soon as possible. [District Rule 2201]</w:t>
      </w:r>
    </w:p>
    <w:p w:rsidR="00DB5DB6" w:rsidRDefault="00DB5DB6">
      <w:pPr>
        <w:suppressAutoHyphens/>
        <w:ind w:left="1440"/>
        <w:jc w:val="both"/>
        <w:rPr>
          <w:spacing w:val="-3"/>
        </w:rPr>
      </w:pPr>
    </w:p>
    <w:p w:rsidR="00DB5DB6" w:rsidRDefault="00DB5DB6">
      <w:pPr>
        <w:pStyle w:val="Heading3"/>
      </w:pPr>
      <w:r>
        <w:t>Record Keeping</w:t>
      </w:r>
    </w:p>
    <w:p w:rsidR="00DB5DB6" w:rsidRDefault="00DB5DB6">
      <w:pPr>
        <w:suppressAutoHyphens/>
        <w:ind w:left="1440"/>
        <w:jc w:val="both"/>
        <w:rPr>
          <w:spacing w:val="-3"/>
        </w:rPr>
      </w:pPr>
    </w:p>
    <w:p w:rsidR="00DB5DB6" w:rsidRDefault="00DB5DB6">
      <w:pPr>
        <w:pStyle w:val="BodyTextIndent"/>
        <w:jc w:val="left"/>
      </w:pPr>
      <w:r>
        <w:t>The permittee shall maintain records for all monitored data for a period of five years.</w:t>
      </w:r>
    </w:p>
    <w:p w:rsidR="00DB5DB6" w:rsidRDefault="00DB5DB6">
      <w:pPr>
        <w:pStyle w:val="BodyTextIndent"/>
        <w:jc w:val="left"/>
      </w:pPr>
    </w:p>
    <w:p w:rsidR="00DB5DB6" w:rsidRDefault="00DB5DB6">
      <w:pPr>
        <w:pStyle w:val="BodyTextIndent"/>
        <w:numPr>
          <w:ilvl w:val="0"/>
          <w:numId w:val="11"/>
        </w:numPr>
        <w:jc w:val="left"/>
      </w:pPr>
      <w:bookmarkStart w:id="1" w:name="OLE_LINK4"/>
      <w:r>
        <w:t>{2780} All records shall be retained for a minimum of five years, and shall be made available for District inspection upon request. [District Rule 2201]</w:t>
      </w:r>
      <w:bookmarkEnd w:id="1"/>
    </w:p>
    <w:p w:rsidR="00DB5DB6" w:rsidRDefault="00DB5DB6">
      <w:pPr>
        <w:suppressAutoHyphens/>
        <w:ind w:left="1440"/>
        <w:jc w:val="both"/>
        <w:rPr>
          <w:spacing w:val="-3"/>
        </w:rPr>
      </w:pPr>
    </w:p>
    <w:p w:rsidR="00DB5DB6" w:rsidRDefault="00DB5DB6">
      <w:pPr>
        <w:pStyle w:val="Heading3"/>
      </w:pPr>
      <w:r>
        <w:t>Reporting</w:t>
      </w:r>
    </w:p>
    <w:p w:rsidR="00DB5DB6" w:rsidRDefault="00DB5DB6">
      <w:pPr>
        <w:suppressAutoHyphens/>
        <w:ind w:left="1440"/>
        <w:jc w:val="both"/>
        <w:rPr>
          <w:spacing w:val="-3"/>
        </w:rPr>
      </w:pPr>
    </w:p>
    <w:p w:rsidR="00DB5DB6" w:rsidRDefault="00DB5DB6">
      <w:pPr>
        <w:pStyle w:val="BodyTextIndent"/>
        <w:jc w:val="left"/>
      </w:pPr>
      <w:r>
        <w:t>The permittee shall submit initial startup test report and maintain all other monitoring records on site.  Such records shall be made available for District inspection upon request.</w:t>
      </w:r>
    </w:p>
    <w:p w:rsidR="00DB5DB6" w:rsidRDefault="00DB5DB6">
      <w:pPr>
        <w:pStyle w:val="BodyTextIndent3"/>
        <w:ind w:left="720"/>
        <w:jc w:val="left"/>
      </w:pPr>
    </w:p>
    <w:p w:rsidR="00DB5DB6" w:rsidRDefault="00DB5DB6">
      <w:pPr>
        <w:pStyle w:val="BodyTextIndent3"/>
        <w:numPr>
          <w:ilvl w:val="0"/>
          <w:numId w:val="12"/>
        </w:numPr>
        <w:jc w:val="left"/>
      </w:pPr>
      <w:r>
        <w:t>{1417} Initial compliance with VOC emission rate and control efficiency requirements shall be demonstrated by the results of the laboratory sample analysis.  The results shall be submitted to the District within 60 days of the test. [District Rule 1081]</w:t>
      </w:r>
    </w:p>
    <w:p w:rsidR="00DB5DB6" w:rsidRDefault="00DB5DB6">
      <w:pPr>
        <w:pStyle w:val="BodyTextIndent3"/>
        <w:ind w:left="720"/>
        <w:jc w:val="left"/>
      </w:pPr>
    </w:p>
    <w:p w:rsidR="00DB5DB6" w:rsidRDefault="00DB5DB6">
      <w:pPr>
        <w:pStyle w:val="BodyTextIndent"/>
        <w:numPr>
          <w:ilvl w:val="0"/>
          <w:numId w:val="12"/>
        </w:numPr>
        <w:jc w:val="left"/>
      </w:pPr>
      <w:r>
        <w:t>{1416} Measurements to determine the influent and the effluent gas flow rates shall be taken at the initial inspection.  Flow rate calculations shall be submitted to the District along with the laboratory sample analysis results. [District Rule 1081]</w:t>
      </w:r>
    </w:p>
    <w:p w:rsidR="00DB5DB6" w:rsidRDefault="00DB5DB6">
      <w:pPr>
        <w:pStyle w:val="BodyTextIndent"/>
        <w:jc w:val="left"/>
      </w:pPr>
    </w:p>
    <w:p w:rsidR="00DB5DB6" w:rsidRDefault="00DB5DB6">
      <w:pPr>
        <w:pStyle w:val="BodyTextIndent"/>
        <w:numPr>
          <w:ilvl w:val="0"/>
          <w:numId w:val="12"/>
        </w:numPr>
      </w:pPr>
      <w:r>
        <w:t>{2780} All records shall be retained for a minimum of five years, and shall be made available for District inspection upon request. [District Rule 2201]</w:t>
      </w:r>
    </w:p>
    <w:p w:rsidR="00DB5DB6" w:rsidRDefault="00DB5DB6">
      <w:pPr>
        <w:suppressAutoHyphens/>
        <w:jc w:val="both"/>
        <w:rPr>
          <w:spacing w:val="-3"/>
        </w:rPr>
      </w:pPr>
    </w:p>
    <w:p w:rsidR="00DB5DB6" w:rsidRDefault="00DB5DB6">
      <w:pPr>
        <w:pStyle w:val="Heading2"/>
      </w:pPr>
      <w:r>
        <w:t>Ambient Air Quality Analysis</w:t>
      </w:r>
    </w:p>
    <w:p w:rsidR="00DB5DB6" w:rsidRDefault="00DB5DB6">
      <w:pPr>
        <w:tabs>
          <w:tab w:val="left" w:pos="720"/>
          <w:tab w:val="left" w:pos="4140"/>
        </w:tabs>
        <w:ind w:left="720"/>
        <w:rPr>
          <w:bCs/>
          <w:i/>
        </w:rPr>
      </w:pPr>
    </w:p>
    <w:p w:rsidR="00DB5DB6" w:rsidRDefault="00DB5DB6">
      <w:pPr>
        <w:ind w:left="360"/>
        <w:rPr>
          <w:bCs/>
          <w:iCs/>
          <w:color w:val="FF0000"/>
        </w:rPr>
      </w:pPr>
      <w:r>
        <w:rPr>
          <w:bCs/>
          <w:i/>
          <w:color w:val="FF0000"/>
        </w:rPr>
        <w:t>(</w:t>
      </w:r>
      <w:r>
        <w:rPr>
          <w:bCs/>
          <w:i/>
          <w:color w:val="FF0000"/>
          <w:u w:val="single"/>
        </w:rPr>
        <w:t>Note</w:t>
      </w:r>
      <w:r>
        <w:rPr>
          <w:bCs/>
          <w:i/>
          <w:color w:val="FF0000"/>
        </w:rPr>
        <w:t>: Applicable only when public notice is triggered, otherwise delete this section.)</w:t>
      </w:r>
    </w:p>
    <w:p w:rsidR="00DB5DB6" w:rsidRDefault="00DB5DB6">
      <w:pPr>
        <w:ind w:left="360"/>
        <w:rPr>
          <w:bCs/>
        </w:rPr>
      </w:pPr>
    </w:p>
    <w:p w:rsidR="00DB5DB6" w:rsidRDefault="00DB5DB6">
      <w:pPr>
        <w:ind w:left="360"/>
        <w:rPr>
          <w:bCs/>
          <w:color w:val="800000"/>
        </w:rPr>
      </w:pPr>
      <w:r>
        <w:rPr>
          <w:bCs/>
          <w:color w:val="800000"/>
        </w:rPr>
        <w:t xml:space="preserve">An AAQA is conducted by the Technical Services group, for any project which has an increase in emissions and triggers public notification requirements.  Discuss the AAQA </w:t>
      </w:r>
      <w:r>
        <w:rPr>
          <w:bCs/>
          <w:color w:val="800000"/>
        </w:rPr>
        <w:lastRenderedPageBreak/>
        <w:t>results as follows.</w:t>
      </w:r>
      <w:r w:rsidR="00790A00">
        <w:rPr>
          <w:bCs/>
          <w:color w:val="800000"/>
        </w:rPr>
        <w:t xml:space="preserve">  To perform an AAQA, Technical Services needs the distance from the emissions point source (stack) to the </w:t>
      </w:r>
      <w:r w:rsidR="007C7DA4">
        <w:rPr>
          <w:bCs/>
          <w:color w:val="800000"/>
        </w:rPr>
        <w:t>fence line</w:t>
      </w:r>
      <w:r w:rsidR="00790A00">
        <w:rPr>
          <w:bCs/>
          <w:color w:val="800000"/>
        </w:rPr>
        <w:t xml:space="preserve"> property boundaries in all four directions.</w:t>
      </w:r>
    </w:p>
    <w:p w:rsidR="00DB5DB6" w:rsidRDefault="00DB5DB6">
      <w:pPr>
        <w:autoSpaceDE w:val="0"/>
        <w:autoSpaceDN w:val="0"/>
        <w:adjustRightInd w:val="0"/>
        <w:ind w:left="360"/>
        <w:rPr>
          <w:bCs/>
        </w:rPr>
      </w:pPr>
    </w:p>
    <w:p w:rsidR="00DB5DB6" w:rsidRDefault="00DB5DB6">
      <w:pPr>
        <w:tabs>
          <w:tab w:val="left" w:pos="1890"/>
        </w:tabs>
        <w:autoSpaceDE w:val="0"/>
        <w:autoSpaceDN w:val="0"/>
        <w:adjustRightInd w:val="0"/>
        <w:ind w:left="360"/>
        <w:rPr>
          <w:i/>
          <w:iCs/>
          <w:color w:val="0000FF"/>
        </w:rPr>
      </w:pPr>
      <w:r>
        <w:rPr>
          <w:i/>
          <w:iCs/>
          <w:color w:val="0000FF"/>
          <w:u w:val="single"/>
        </w:rPr>
        <w:t>For example</w:t>
      </w:r>
      <w:r>
        <w:rPr>
          <w:i/>
          <w:iCs/>
          <w:color w:val="0000FF"/>
        </w:rPr>
        <w:t>:</w:t>
      </w:r>
      <w:r>
        <w:rPr>
          <w:i/>
          <w:iCs/>
          <w:color w:val="0000FF"/>
        </w:rPr>
        <w:tab/>
      </w:r>
    </w:p>
    <w:p w:rsidR="00DB5DB6" w:rsidRDefault="00DB5DB6">
      <w:pPr>
        <w:ind w:left="360"/>
      </w:pPr>
      <w:r>
        <w:t>Section 4.14.1 of this Rule requires that an ambient air quality analysis (AAQA) be conducted for the purpose of determining whether a new or modified Stationary Source will cause or make worse a violation of an air quality standard.  The Technical Services Division of the SJVAPCD conducted the required analysis.  Refer to Appendix X of this document for the AAQA summary sheet.</w:t>
      </w:r>
    </w:p>
    <w:p w:rsidR="00DB5DB6" w:rsidRDefault="00DB5DB6">
      <w:pPr>
        <w:ind w:left="360"/>
      </w:pPr>
    </w:p>
    <w:p w:rsidR="00DB5DB6" w:rsidRDefault="00DB5DB6">
      <w:pPr>
        <w:ind w:left="360"/>
      </w:pPr>
      <w:r>
        <w:t>The proposed location is in an attainment area for NO</w:t>
      </w:r>
      <w:r>
        <w:rPr>
          <w:vertAlign w:val="subscript"/>
        </w:rPr>
        <w:t>X</w:t>
      </w:r>
      <w:r>
        <w:t>, CO, and SO</w:t>
      </w:r>
      <w:r>
        <w:rPr>
          <w:vertAlign w:val="subscript"/>
        </w:rPr>
        <w:t>X</w:t>
      </w:r>
      <w:r>
        <w:t>.  As shown by the AAQA summary sheet the proposed equipment will not cause a violation of an air quality standard for NO</w:t>
      </w:r>
      <w:r>
        <w:rPr>
          <w:vertAlign w:val="subscript"/>
        </w:rPr>
        <w:t>X</w:t>
      </w:r>
      <w:r>
        <w:t>, CO, or SO</w:t>
      </w:r>
      <w:r>
        <w:rPr>
          <w:vertAlign w:val="subscript"/>
        </w:rPr>
        <w:t>X</w:t>
      </w:r>
      <w:r>
        <w:t>.</w:t>
      </w:r>
    </w:p>
    <w:p w:rsidR="00DB5DB6" w:rsidRDefault="00DB5DB6">
      <w:pPr>
        <w:ind w:left="360"/>
      </w:pPr>
    </w:p>
    <w:p w:rsidR="00DB5DB6" w:rsidRDefault="00DB5DB6">
      <w:pPr>
        <w:ind w:left="360"/>
      </w:pPr>
      <w:r>
        <w:t>The proposed location is in a non-attainment area for PM</w:t>
      </w:r>
      <w:r>
        <w:rPr>
          <w:vertAlign w:val="subscript"/>
        </w:rPr>
        <w:t>10</w:t>
      </w:r>
      <w:r>
        <w:t>.  The increase in the ambient PM</w:t>
      </w:r>
      <w:r>
        <w:rPr>
          <w:vertAlign w:val="subscript"/>
        </w:rPr>
        <w:t>10</w:t>
      </w:r>
      <w:r>
        <w:t xml:space="preserve"> concentration due to the proposed equipment is shown on the table titled Calculated Contribution.  The levels of significance, from 40 CFR Part 51.165 (b)(2), are shown on the table titled Significance Levels.</w:t>
      </w:r>
    </w:p>
    <w:p w:rsidR="00DB5DB6" w:rsidRDefault="00DB5DB6">
      <w:pPr>
        <w:ind w:left="360"/>
      </w:pPr>
    </w:p>
    <w:tbl>
      <w:tblPr>
        <w:tblW w:w="952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634"/>
        <w:gridCol w:w="1634"/>
        <w:gridCol w:w="1635"/>
        <w:gridCol w:w="1634"/>
        <w:gridCol w:w="1635"/>
      </w:tblGrid>
      <w:tr w:rsidR="00DB5DB6" w:rsidTr="00D917EC">
        <w:trPr>
          <w:cantSplit/>
        </w:trPr>
        <w:tc>
          <w:tcPr>
            <w:tcW w:w="9522" w:type="dxa"/>
            <w:gridSpan w:val="6"/>
            <w:tcBorders>
              <w:top w:val="double" w:sz="4" w:space="0" w:color="auto"/>
              <w:left w:val="double" w:sz="4" w:space="0" w:color="auto"/>
              <w:bottom w:val="nil"/>
              <w:right w:val="double" w:sz="4" w:space="0" w:color="auto"/>
            </w:tcBorders>
            <w:shd w:val="clear" w:color="auto" w:fill="auto"/>
          </w:tcPr>
          <w:p w:rsidR="00DB5DB6" w:rsidRDefault="00DB5DB6">
            <w:pPr>
              <w:jc w:val="center"/>
              <w:rPr>
                <w:b/>
              </w:rPr>
            </w:pPr>
            <w:r>
              <w:rPr>
                <w:b/>
              </w:rPr>
              <w:t>Significance Levels</w:t>
            </w:r>
          </w:p>
        </w:tc>
      </w:tr>
      <w:tr w:rsidR="00DB5DB6" w:rsidTr="00D917EC">
        <w:trPr>
          <w:cantSplit/>
        </w:trPr>
        <w:tc>
          <w:tcPr>
            <w:tcW w:w="1350" w:type="dxa"/>
            <w:vMerge w:val="restart"/>
            <w:tcBorders>
              <w:top w:val="double" w:sz="4" w:space="0" w:color="auto"/>
              <w:left w:val="double" w:sz="4" w:space="0" w:color="auto"/>
            </w:tcBorders>
            <w:shd w:val="clear" w:color="auto" w:fill="auto"/>
            <w:vAlign w:val="center"/>
          </w:tcPr>
          <w:p w:rsidR="00DB5DB6" w:rsidRDefault="00DB5DB6">
            <w:pPr>
              <w:jc w:val="center"/>
            </w:pPr>
            <w:r>
              <w:t>Pollutant</w:t>
            </w:r>
          </w:p>
        </w:tc>
        <w:tc>
          <w:tcPr>
            <w:tcW w:w="8172" w:type="dxa"/>
            <w:gridSpan w:val="5"/>
            <w:tcBorders>
              <w:top w:val="double" w:sz="4" w:space="0" w:color="auto"/>
              <w:right w:val="double" w:sz="4" w:space="0" w:color="auto"/>
            </w:tcBorders>
            <w:shd w:val="clear" w:color="auto" w:fill="auto"/>
            <w:vAlign w:val="center"/>
          </w:tcPr>
          <w:p w:rsidR="00DB5DB6" w:rsidRDefault="00DB5DB6">
            <w:pPr>
              <w:jc w:val="center"/>
            </w:pPr>
            <w:r>
              <w:t>Significance Levels (</w:t>
            </w:r>
            <w:r>
              <w:sym w:font="Symbol" w:char="F06D"/>
            </w:r>
            <w:r>
              <w:t>g/m</w:t>
            </w:r>
            <w:r>
              <w:rPr>
                <w:vertAlign w:val="superscript"/>
              </w:rPr>
              <w:t>3</w:t>
            </w:r>
            <w:r>
              <w:t>) - 40 CFR Part 51.165 (b)(2)</w:t>
            </w:r>
          </w:p>
        </w:tc>
      </w:tr>
      <w:tr w:rsidR="00DB5DB6" w:rsidTr="00D917EC">
        <w:trPr>
          <w:cantSplit/>
        </w:trPr>
        <w:tc>
          <w:tcPr>
            <w:tcW w:w="1350" w:type="dxa"/>
            <w:vMerge/>
            <w:tcBorders>
              <w:left w:val="double" w:sz="4" w:space="0" w:color="auto"/>
              <w:bottom w:val="single" w:sz="12" w:space="0" w:color="auto"/>
            </w:tcBorders>
            <w:shd w:val="clear" w:color="auto" w:fill="auto"/>
          </w:tcPr>
          <w:p w:rsidR="00DB5DB6" w:rsidRDefault="00DB5DB6">
            <w:pPr>
              <w:jc w:val="center"/>
            </w:pPr>
          </w:p>
        </w:tc>
        <w:tc>
          <w:tcPr>
            <w:tcW w:w="1634" w:type="dxa"/>
            <w:tcBorders>
              <w:bottom w:val="single" w:sz="12" w:space="0" w:color="auto"/>
            </w:tcBorders>
            <w:shd w:val="clear" w:color="auto" w:fill="auto"/>
            <w:vAlign w:val="center"/>
          </w:tcPr>
          <w:p w:rsidR="00DB5DB6" w:rsidRDefault="00DB5DB6">
            <w:pPr>
              <w:jc w:val="center"/>
            </w:pPr>
            <w:r>
              <w:t>Annual Avg.</w:t>
            </w:r>
          </w:p>
        </w:tc>
        <w:tc>
          <w:tcPr>
            <w:tcW w:w="1634" w:type="dxa"/>
            <w:tcBorders>
              <w:bottom w:val="single" w:sz="12" w:space="0" w:color="auto"/>
            </w:tcBorders>
            <w:shd w:val="clear" w:color="auto" w:fill="auto"/>
            <w:vAlign w:val="center"/>
          </w:tcPr>
          <w:p w:rsidR="00DB5DB6" w:rsidRDefault="00DB5DB6">
            <w:pPr>
              <w:jc w:val="center"/>
            </w:pPr>
            <w:r>
              <w:t>24 hr Avg.</w:t>
            </w:r>
          </w:p>
        </w:tc>
        <w:tc>
          <w:tcPr>
            <w:tcW w:w="1635" w:type="dxa"/>
            <w:tcBorders>
              <w:bottom w:val="single" w:sz="12" w:space="0" w:color="auto"/>
            </w:tcBorders>
            <w:shd w:val="clear" w:color="auto" w:fill="auto"/>
            <w:vAlign w:val="center"/>
          </w:tcPr>
          <w:p w:rsidR="00DB5DB6" w:rsidRDefault="00DB5DB6">
            <w:pPr>
              <w:jc w:val="center"/>
            </w:pPr>
            <w:r>
              <w:t>8 hr Avg.</w:t>
            </w:r>
          </w:p>
        </w:tc>
        <w:tc>
          <w:tcPr>
            <w:tcW w:w="1634" w:type="dxa"/>
            <w:tcBorders>
              <w:bottom w:val="single" w:sz="12" w:space="0" w:color="auto"/>
            </w:tcBorders>
            <w:shd w:val="clear" w:color="auto" w:fill="auto"/>
            <w:vAlign w:val="center"/>
          </w:tcPr>
          <w:p w:rsidR="00DB5DB6" w:rsidRDefault="00DB5DB6">
            <w:pPr>
              <w:jc w:val="center"/>
            </w:pPr>
            <w:r>
              <w:t>3 hr Avg.</w:t>
            </w:r>
          </w:p>
        </w:tc>
        <w:tc>
          <w:tcPr>
            <w:tcW w:w="1635" w:type="dxa"/>
            <w:tcBorders>
              <w:bottom w:val="single" w:sz="12" w:space="0" w:color="auto"/>
              <w:right w:val="double" w:sz="4" w:space="0" w:color="auto"/>
            </w:tcBorders>
            <w:shd w:val="clear" w:color="auto" w:fill="auto"/>
            <w:vAlign w:val="center"/>
          </w:tcPr>
          <w:p w:rsidR="00DB5DB6" w:rsidRDefault="00DB5DB6">
            <w:pPr>
              <w:jc w:val="center"/>
            </w:pPr>
            <w:r>
              <w:t>1 hr Avg.</w:t>
            </w:r>
          </w:p>
        </w:tc>
      </w:tr>
      <w:tr w:rsidR="00DB5DB6">
        <w:trPr>
          <w:cantSplit/>
        </w:trPr>
        <w:tc>
          <w:tcPr>
            <w:tcW w:w="1350" w:type="dxa"/>
            <w:tcBorders>
              <w:top w:val="nil"/>
              <w:left w:val="double" w:sz="4" w:space="0" w:color="auto"/>
              <w:bottom w:val="double" w:sz="4" w:space="0" w:color="auto"/>
            </w:tcBorders>
          </w:tcPr>
          <w:p w:rsidR="00DB5DB6" w:rsidRDefault="00DB5DB6">
            <w:pPr>
              <w:jc w:val="center"/>
            </w:pPr>
            <w:r>
              <w:t>PM</w:t>
            </w:r>
            <w:r>
              <w:rPr>
                <w:vertAlign w:val="subscript"/>
              </w:rPr>
              <w:t>10</w:t>
            </w:r>
          </w:p>
        </w:tc>
        <w:tc>
          <w:tcPr>
            <w:tcW w:w="1634" w:type="dxa"/>
            <w:tcBorders>
              <w:top w:val="nil"/>
              <w:bottom w:val="double" w:sz="4" w:space="0" w:color="auto"/>
            </w:tcBorders>
          </w:tcPr>
          <w:p w:rsidR="00DB5DB6" w:rsidRDefault="00DB5DB6">
            <w:pPr>
              <w:jc w:val="center"/>
            </w:pPr>
            <w:r>
              <w:t>1.0</w:t>
            </w:r>
          </w:p>
        </w:tc>
        <w:tc>
          <w:tcPr>
            <w:tcW w:w="1634" w:type="dxa"/>
            <w:tcBorders>
              <w:top w:val="nil"/>
              <w:bottom w:val="double" w:sz="4" w:space="0" w:color="auto"/>
            </w:tcBorders>
          </w:tcPr>
          <w:p w:rsidR="00DB5DB6" w:rsidRDefault="00DB5DB6">
            <w:pPr>
              <w:jc w:val="center"/>
            </w:pPr>
            <w:r>
              <w:t>5</w:t>
            </w:r>
          </w:p>
        </w:tc>
        <w:tc>
          <w:tcPr>
            <w:tcW w:w="1635" w:type="dxa"/>
            <w:tcBorders>
              <w:top w:val="nil"/>
              <w:bottom w:val="double" w:sz="4" w:space="0" w:color="auto"/>
            </w:tcBorders>
          </w:tcPr>
          <w:p w:rsidR="00DB5DB6" w:rsidRDefault="00DB5DB6">
            <w:pPr>
              <w:jc w:val="center"/>
            </w:pPr>
            <w:r>
              <w:t>N/A</w:t>
            </w:r>
          </w:p>
        </w:tc>
        <w:tc>
          <w:tcPr>
            <w:tcW w:w="1634" w:type="dxa"/>
            <w:tcBorders>
              <w:top w:val="nil"/>
              <w:bottom w:val="double" w:sz="4" w:space="0" w:color="auto"/>
            </w:tcBorders>
          </w:tcPr>
          <w:p w:rsidR="00DB5DB6" w:rsidRDefault="00DB5DB6">
            <w:pPr>
              <w:jc w:val="center"/>
            </w:pPr>
            <w:r>
              <w:t>N/A</w:t>
            </w:r>
          </w:p>
        </w:tc>
        <w:tc>
          <w:tcPr>
            <w:tcW w:w="1635" w:type="dxa"/>
            <w:tcBorders>
              <w:top w:val="nil"/>
              <w:bottom w:val="double" w:sz="4" w:space="0" w:color="auto"/>
              <w:right w:val="double" w:sz="4" w:space="0" w:color="auto"/>
            </w:tcBorders>
          </w:tcPr>
          <w:p w:rsidR="00DB5DB6" w:rsidRDefault="00DB5DB6">
            <w:pPr>
              <w:jc w:val="center"/>
            </w:pPr>
            <w:r>
              <w:t>N/A</w:t>
            </w:r>
          </w:p>
        </w:tc>
      </w:tr>
    </w:tbl>
    <w:p w:rsidR="00DB5DB6" w:rsidRDefault="00DB5DB6">
      <w:pPr>
        <w:ind w:left="720"/>
      </w:pPr>
    </w:p>
    <w:tbl>
      <w:tblPr>
        <w:tblW w:w="952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634"/>
        <w:gridCol w:w="1634"/>
        <w:gridCol w:w="1635"/>
        <w:gridCol w:w="1634"/>
        <w:gridCol w:w="1635"/>
      </w:tblGrid>
      <w:tr w:rsidR="00DB5DB6" w:rsidTr="00D917EC">
        <w:trPr>
          <w:cantSplit/>
        </w:trPr>
        <w:tc>
          <w:tcPr>
            <w:tcW w:w="9522" w:type="dxa"/>
            <w:gridSpan w:val="6"/>
            <w:tcBorders>
              <w:top w:val="double" w:sz="4" w:space="0" w:color="auto"/>
              <w:left w:val="double" w:sz="4" w:space="0" w:color="auto"/>
              <w:bottom w:val="nil"/>
              <w:right w:val="double" w:sz="4" w:space="0" w:color="auto"/>
            </w:tcBorders>
            <w:shd w:val="clear" w:color="auto" w:fill="auto"/>
          </w:tcPr>
          <w:p w:rsidR="00DB5DB6" w:rsidRDefault="00DB5DB6">
            <w:pPr>
              <w:jc w:val="center"/>
              <w:rPr>
                <w:b/>
                <w:bCs/>
              </w:rPr>
            </w:pPr>
            <w:r>
              <w:rPr>
                <w:b/>
                <w:bCs/>
              </w:rPr>
              <w:t>Calculated Contribution</w:t>
            </w:r>
          </w:p>
        </w:tc>
      </w:tr>
      <w:tr w:rsidR="00DB5DB6" w:rsidTr="00D917EC">
        <w:trPr>
          <w:cantSplit/>
        </w:trPr>
        <w:tc>
          <w:tcPr>
            <w:tcW w:w="1350" w:type="dxa"/>
            <w:vMerge w:val="restart"/>
            <w:tcBorders>
              <w:top w:val="double" w:sz="4" w:space="0" w:color="auto"/>
              <w:left w:val="double" w:sz="4" w:space="0" w:color="auto"/>
            </w:tcBorders>
            <w:shd w:val="clear" w:color="auto" w:fill="auto"/>
            <w:vAlign w:val="center"/>
          </w:tcPr>
          <w:p w:rsidR="00DB5DB6" w:rsidRDefault="00DB5DB6">
            <w:pPr>
              <w:jc w:val="center"/>
            </w:pPr>
            <w:r>
              <w:t>Pollutant</w:t>
            </w:r>
          </w:p>
        </w:tc>
        <w:tc>
          <w:tcPr>
            <w:tcW w:w="8172" w:type="dxa"/>
            <w:gridSpan w:val="5"/>
            <w:tcBorders>
              <w:top w:val="double" w:sz="4" w:space="0" w:color="auto"/>
              <w:right w:val="double" w:sz="4" w:space="0" w:color="auto"/>
            </w:tcBorders>
            <w:shd w:val="clear" w:color="auto" w:fill="auto"/>
            <w:vAlign w:val="center"/>
          </w:tcPr>
          <w:p w:rsidR="00DB5DB6" w:rsidRDefault="00DB5DB6">
            <w:pPr>
              <w:jc w:val="center"/>
            </w:pPr>
            <w:r>
              <w:t>Calculated Contributions (</w:t>
            </w:r>
            <w:r>
              <w:sym w:font="Symbol" w:char="F06D"/>
            </w:r>
            <w:r>
              <w:t>g/m</w:t>
            </w:r>
            <w:r>
              <w:rPr>
                <w:vertAlign w:val="superscript"/>
              </w:rPr>
              <w:t>3</w:t>
            </w:r>
            <w:r>
              <w:t>)</w:t>
            </w:r>
          </w:p>
        </w:tc>
      </w:tr>
      <w:tr w:rsidR="00DB5DB6" w:rsidTr="00D917EC">
        <w:trPr>
          <w:cantSplit/>
        </w:trPr>
        <w:tc>
          <w:tcPr>
            <w:tcW w:w="1350" w:type="dxa"/>
            <w:vMerge/>
            <w:tcBorders>
              <w:left w:val="double" w:sz="4" w:space="0" w:color="auto"/>
              <w:bottom w:val="single" w:sz="12" w:space="0" w:color="auto"/>
            </w:tcBorders>
            <w:shd w:val="clear" w:color="auto" w:fill="auto"/>
            <w:vAlign w:val="center"/>
          </w:tcPr>
          <w:p w:rsidR="00DB5DB6" w:rsidRDefault="00DB5DB6">
            <w:pPr>
              <w:jc w:val="center"/>
            </w:pPr>
          </w:p>
        </w:tc>
        <w:tc>
          <w:tcPr>
            <w:tcW w:w="1634" w:type="dxa"/>
            <w:tcBorders>
              <w:bottom w:val="single" w:sz="12" w:space="0" w:color="auto"/>
            </w:tcBorders>
            <w:shd w:val="clear" w:color="auto" w:fill="auto"/>
            <w:vAlign w:val="center"/>
          </w:tcPr>
          <w:p w:rsidR="00DB5DB6" w:rsidRDefault="00DB5DB6">
            <w:pPr>
              <w:jc w:val="center"/>
            </w:pPr>
            <w:r>
              <w:t>Annual Avg.</w:t>
            </w:r>
          </w:p>
        </w:tc>
        <w:tc>
          <w:tcPr>
            <w:tcW w:w="1634" w:type="dxa"/>
            <w:tcBorders>
              <w:bottom w:val="single" w:sz="12" w:space="0" w:color="auto"/>
            </w:tcBorders>
            <w:shd w:val="clear" w:color="auto" w:fill="auto"/>
            <w:vAlign w:val="center"/>
          </w:tcPr>
          <w:p w:rsidR="00DB5DB6" w:rsidRDefault="00DB5DB6">
            <w:pPr>
              <w:jc w:val="center"/>
            </w:pPr>
            <w:r>
              <w:t>24 hr Avg.</w:t>
            </w:r>
          </w:p>
        </w:tc>
        <w:tc>
          <w:tcPr>
            <w:tcW w:w="1635" w:type="dxa"/>
            <w:tcBorders>
              <w:bottom w:val="single" w:sz="12" w:space="0" w:color="auto"/>
            </w:tcBorders>
            <w:shd w:val="clear" w:color="auto" w:fill="auto"/>
            <w:vAlign w:val="center"/>
          </w:tcPr>
          <w:p w:rsidR="00DB5DB6" w:rsidRDefault="00DB5DB6">
            <w:pPr>
              <w:jc w:val="center"/>
            </w:pPr>
            <w:r>
              <w:t>8 hr Avg.</w:t>
            </w:r>
          </w:p>
        </w:tc>
        <w:tc>
          <w:tcPr>
            <w:tcW w:w="1634" w:type="dxa"/>
            <w:tcBorders>
              <w:bottom w:val="single" w:sz="12" w:space="0" w:color="auto"/>
            </w:tcBorders>
            <w:shd w:val="clear" w:color="auto" w:fill="auto"/>
            <w:vAlign w:val="center"/>
          </w:tcPr>
          <w:p w:rsidR="00DB5DB6" w:rsidRDefault="00DB5DB6">
            <w:pPr>
              <w:jc w:val="center"/>
            </w:pPr>
            <w:r>
              <w:t>3 hr Avg.</w:t>
            </w:r>
          </w:p>
        </w:tc>
        <w:tc>
          <w:tcPr>
            <w:tcW w:w="1635" w:type="dxa"/>
            <w:tcBorders>
              <w:bottom w:val="single" w:sz="12" w:space="0" w:color="auto"/>
              <w:right w:val="double" w:sz="4" w:space="0" w:color="auto"/>
            </w:tcBorders>
            <w:shd w:val="clear" w:color="auto" w:fill="auto"/>
            <w:vAlign w:val="center"/>
          </w:tcPr>
          <w:p w:rsidR="00DB5DB6" w:rsidRDefault="00DB5DB6">
            <w:pPr>
              <w:jc w:val="center"/>
            </w:pPr>
            <w:r>
              <w:t>1 hr Avg.</w:t>
            </w:r>
          </w:p>
        </w:tc>
      </w:tr>
      <w:tr w:rsidR="00DB5DB6">
        <w:trPr>
          <w:cantSplit/>
          <w:trHeight w:val="107"/>
        </w:trPr>
        <w:tc>
          <w:tcPr>
            <w:tcW w:w="1350" w:type="dxa"/>
            <w:tcBorders>
              <w:top w:val="single" w:sz="12" w:space="0" w:color="auto"/>
              <w:left w:val="double" w:sz="4" w:space="0" w:color="auto"/>
              <w:bottom w:val="double" w:sz="4" w:space="0" w:color="auto"/>
            </w:tcBorders>
          </w:tcPr>
          <w:p w:rsidR="00DB5DB6" w:rsidRDefault="00DB5DB6">
            <w:pPr>
              <w:jc w:val="center"/>
            </w:pPr>
            <w:r>
              <w:t>PM</w:t>
            </w:r>
            <w:r>
              <w:rPr>
                <w:vertAlign w:val="subscript"/>
              </w:rPr>
              <w:t>10</w:t>
            </w:r>
          </w:p>
        </w:tc>
        <w:tc>
          <w:tcPr>
            <w:tcW w:w="1634" w:type="dxa"/>
            <w:tcBorders>
              <w:top w:val="single" w:sz="12" w:space="0" w:color="auto"/>
              <w:bottom w:val="double" w:sz="4" w:space="0" w:color="auto"/>
            </w:tcBorders>
          </w:tcPr>
          <w:p w:rsidR="00DB5DB6" w:rsidRDefault="00DB5DB6">
            <w:pPr>
              <w:jc w:val="center"/>
            </w:pPr>
            <w:r>
              <w:t>0.XX</w:t>
            </w:r>
          </w:p>
        </w:tc>
        <w:tc>
          <w:tcPr>
            <w:tcW w:w="1634" w:type="dxa"/>
            <w:tcBorders>
              <w:top w:val="single" w:sz="12" w:space="0" w:color="auto"/>
              <w:bottom w:val="double" w:sz="4" w:space="0" w:color="auto"/>
            </w:tcBorders>
          </w:tcPr>
          <w:p w:rsidR="00DB5DB6" w:rsidRDefault="00DB5DB6">
            <w:pPr>
              <w:jc w:val="center"/>
            </w:pPr>
            <w:r>
              <w:t>X.XX</w:t>
            </w:r>
          </w:p>
        </w:tc>
        <w:tc>
          <w:tcPr>
            <w:tcW w:w="1635" w:type="dxa"/>
            <w:tcBorders>
              <w:top w:val="single" w:sz="12" w:space="0" w:color="auto"/>
              <w:bottom w:val="double" w:sz="4" w:space="0" w:color="auto"/>
            </w:tcBorders>
          </w:tcPr>
          <w:p w:rsidR="00DB5DB6" w:rsidRDefault="00DB5DB6">
            <w:pPr>
              <w:jc w:val="center"/>
            </w:pPr>
            <w:r>
              <w:t>N/A</w:t>
            </w:r>
          </w:p>
        </w:tc>
        <w:tc>
          <w:tcPr>
            <w:tcW w:w="1634" w:type="dxa"/>
            <w:tcBorders>
              <w:top w:val="single" w:sz="12" w:space="0" w:color="auto"/>
              <w:bottom w:val="double" w:sz="4" w:space="0" w:color="auto"/>
            </w:tcBorders>
          </w:tcPr>
          <w:p w:rsidR="00DB5DB6" w:rsidRDefault="00DB5DB6">
            <w:pPr>
              <w:jc w:val="center"/>
            </w:pPr>
            <w:r>
              <w:t>N/A</w:t>
            </w:r>
          </w:p>
        </w:tc>
        <w:tc>
          <w:tcPr>
            <w:tcW w:w="1635" w:type="dxa"/>
            <w:tcBorders>
              <w:top w:val="single" w:sz="12" w:space="0" w:color="auto"/>
              <w:bottom w:val="double" w:sz="4" w:space="0" w:color="auto"/>
              <w:right w:val="double" w:sz="4" w:space="0" w:color="auto"/>
            </w:tcBorders>
          </w:tcPr>
          <w:p w:rsidR="00DB5DB6" w:rsidRDefault="00DB5DB6">
            <w:pPr>
              <w:jc w:val="center"/>
            </w:pPr>
            <w:r>
              <w:t>N/A</w:t>
            </w:r>
          </w:p>
        </w:tc>
      </w:tr>
    </w:tbl>
    <w:p w:rsidR="00DB5DB6" w:rsidRDefault="00DB5DB6">
      <w:pPr>
        <w:ind w:left="720"/>
      </w:pPr>
    </w:p>
    <w:p w:rsidR="00DB5DB6" w:rsidRDefault="00DB5DB6">
      <w:pPr>
        <w:tabs>
          <w:tab w:val="left" w:pos="360"/>
        </w:tabs>
        <w:ind w:left="360"/>
      </w:pPr>
      <w:r>
        <w:t>As shown, the calculated contribution of PM</w:t>
      </w:r>
      <w:r>
        <w:rPr>
          <w:vertAlign w:val="subscript"/>
        </w:rPr>
        <w:t>10</w:t>
      </w:r>
      <w:r>
        <w:t xml:space="preserve"> will not exceed the EPA significance level.  This project is not expected to cause or make worse a violation of an air quality standard.</w:t>
      </w:r>
    </w:p>
    <w:p w:rsidR="00DB5DB6" w:rsidRDefault="00DB5DB6">
      <w:pPr>
        <w:ind w:left="720"/>
      </w:pPr>
    </w:p>
    <w:p w:rsidR="00DB5DB6" w:rsidRDefault="00DB5DB6">
      <w:pPr>
        <w:ind w:left="360"/>
        <w:rPr>
          <w:bCs/>
          <w:i/>
          <w:color w:val="FF0000"/>
        </w:rPr>
      </w:pPr>
      <w:r>
        <w:rPr>
          <w:bCs/>
          <w:i/>
          <w:color w:val="FF0000"/>
        </w:rPr>
        <w:t>(</w:t>
      </w:r>
      <w:r>
        <w:rPr>
          <w:bCs/>
          <w:i/>
          <w:color w:val="FF0000"/>
          <w:u w:val="single"/>
        </w:rPr>
        <w:t>Note</w:t>
      </w:r>
      <w:r>
        <w:rPr>
          <w:bCs/>
          <w:i/>
          <w:color w:val="FF0000"/>
        </w:rPr>
        <w:t>: Special permit conditions may be required as a result of the AAQA.)</w:t>
      </w:r>
    </w:p>
    <w:p w:rsidR="00DB5DB6" w:rsidRDefault="00DB5DB6">
      <w:pPr>
        <w:suppressAutoHyphens/>
        <w:jc w:val="both"/>
        <w:rPr>
          <w:spacing w:val="-3"/>
        </w:rPr>
      </w:pPr>
    </w:p>
    <w:p w:rsidR="00C11684" w:rsidRPr="00C11684" w:rsidRDefault="00C11684" w:rsidP="00C11684">
      <w:pPr>
        <w:keepNext/>
        <w:outlineLvl w:val="0"/>
        <w:rPr>
          <w:b/>
          <w:bCs/>
          <w:color w:val="000000"/>
        </w:rPr>
      </w:pPr>
      <w:r w:rsidRPr="00C11684">
        <w:rPr>
          <w:b/>
          <w:bCs/>
        </w:rPr>
        <w:t xml:space="preserve">Rule 2410    </w:t>
      </w:r>
      <w:r w:rsidRPr="00C11684">
        <w:rPr>
          <w:b/>
          <w:bCs/>
          <w:color w:val="000000"/>
        </w:rPr>
        <w:t>Prevention of Significant Deterioration</w:t>
      </w:r>
    </w:p>
    <w:p w:rsidR="00C11684" w:rsidRPr="00C11684" w:rsidRDefault="00C11684" w:rsidP="00C11684">
      <w:pPr>
        <w:rPr>
          <w:rFonts w:eastAsia="Arial Unicode MS"/>
        </w:rPr>
      </w:pPr>
    </w:p>
    <w:p w:rsidR="00C11684" w:rsidRPr="00C11684" w:rsidRDefault="00C11684" w:rsidP="00C11684">
      <w:pPr>
        <w:rPr>
          <w:spacing w:val="-3"/>
        </w:rPr>
      </w:pPr>
      <w:r w:rsidRPr="00C11684">
        <w:rPr>
          <w:rFonts w:cs="Arial"/>
          <w:noProof/>
        </w:rPr>
        <w:t>As shown in Section C.9.A above, this is a new facility and the project potential to emit, by itself, does not exceed any of the PSD major source thresholds.  Therefore, this facility is not a PSD source and Rule 2410 does not apply.</w:t>
      </w:r>
    </w:p>
    <w:p w:rsidR="008D1090" w:rsidRDefault="008D1090">
      <w:pPr>
        <w:pStyle w:val="Heading1"/>
        <w:numPr>
          <w:ilvl w:val="0"/>
          <w:numId w:val="0"/>
        </w:numPr>
        <w:suppressAutoHyphens w:val="0"/>
        <w:rPr>
          <w:bCs/>
        </w:rPr>
      </w:pPr>
    </w:p>
    <w:p w:rsidR="00DB5DB6" w:rsidRDefault="00DB5DB6">
      <w:pPr>
        <w:pStyle w:val="Heading1"/>
        <w:numPr>
          <w:ilvl w:val="0"/>
          <w:numId w:val="0"/>
        </w:numPr>
        <w:suppressAutoHyphens w:val="0"/>
        <w:rPr>
          <w:rFonts w:eastAsia="Arial Unicode MS"/>
          <w:bCs/>
        </w:rPr>
      </w:pPr>
      <w:r>
        <w:rPr>
          <w:bCs/>
        </w:rPr>
        <w:t>Rule 2520    Federally Mandated Operating Permits</w:t>
      </w:r>
    </w:p>
    <w:p w:rsidR="00DB5DB6" w:rsidRDefault="00DB5DB6">
      <w:pPr>
        <w:rPr>
          <w:rFonts w:cs="Arial"/>
          <w:bCs/>
          <w:color w:val="000000"/>
        </w:rPr>
      </w:pPr>
      <w:r>
        <w:rPr>
          <w:rFonts w:cs="Arial"/>
          <w:bCs/>
          <w:color w:val="000000"/>
        </w:rPr>
        <w:t> </w:t>
      </w:r>
    </w:p>
    <w:p w:rsidR="00DB5DB6" w:rsidRDefault="00DB5DB6" w:rsidP="008D1090">
      <w:pPr>
        <w:adjustRightInd w:val="0"/>
        <w:jc w:val="both"/>
        <w:rPr>
          <w:rFonts w:cs="Arial"/>
          <w:color w:val="000000"/>
        </w:rPr>
      </w:pPr>
      <w:r>
        <w:rPr>
          <w:rFonts w:cs="Arial"/>
          <w:color w:val="000000"/>
        </w:rPr>
        <w:t>Since this facility’s potential emissions do not exceed any major source thresholds of Rule 2201, this facility is not a major source, and Rule 2520 does not apply.</w:t>
      </w:r>
    </w:p>
    <w:p w:rsidR="00DB5DB6" w:rsidRDefault="00DB5DB6">
      <w:r>
        <w:t> </w:t>
      </w:r>
    </w:p>
    <w:p w:rsidR="00DB5DB6" w:rsidRDefault="00DB5DB6">
      <w:pPr>
        <w:suppressAutoHyphens/>
        <w:jc w:val="both"/>
        <w:rPr>
          <w:b/>
          <w:spacing w:val="-3"/>
        </w:rPr>
      </w:pPr>
      <w:r>
        <w:rPr>
          <w:b/>
          <w:spacing w:val="-3"/>
        </w:rPr>
        <w:lastRenderedPageBreak/>
        <w:t>Rule 4101    Visible Emissions</w:t>
      </w:r>
    </w:p>
    <w:p w:rsidR="00DB5DB6" w:rsidRDefault="00DB5DB6">
      <w:pPr>
        <w:suppressAutoHyphens/>
        <w:ind w:left="720"/>
        <w:jc w:val="both"/>
        <w:rPr>
          <w:spacing w:val="-3"/>
        </w:rPr>
      </w:pPr>
    </w:p>
    <w:p w:rsidR="00DB5DB6" w:rsidRDefault="00DB5DB6" w:rsidP="008D1090">
      <w:pPr>
        <w:suppressAutoHyphens/>
        <w:jc w:val="both"/>
        <w:rPr>
          <w:spacing w:val="-3"/>
        </w:rPr>
      </w:pPr>
      <w:r>
        <w:rPr>
          <w:spacing w:val="-3"/>
        </w:rPr>
        <w:t>Rule 4101 states that no air contaminant shall be discharged into the atmosphere for a period or periods aggregating more than three minutes in any one hour which is as dark as, or darker than, Ringelmann 1 or 20% opacity.</w:t>
      </w:r>
    </w:p>
    <w:p w:rsidR="00DB5DB6" w:rsidRDefault="00DB5DB6">
      <w:pPr>
        <w:suppressAutoHyphens/>
        <w:ind w:left="720"/>
        <w:jc w:val="both"/>
        <w:rPr>
          <w:spacing w:val="-3"/>
        </w:rPr>
      </w:pPr>
    </w:p>
    <w:p w:rsidR="00DB5DB6" w:rsidRDefault="00DB5DB6">
      <w:r>
        <w:t>As long as the equipment is properly maintained and operated, compliance with visible emissions limits is expected under normal operating conditions.</w:t>
      </w:r>
    </w:p>
    <w:p w:rsidR="00DB5DB6" w:rsidRDefault="00DB5DB6">
      <w:pPr>
        <w:suppressAutoHyphens/>
        <w:ind w:left="720"/>
        <w:jc w:val="both"/>
        <w:rPr>
          <w:spacing w:val="-3"/>
        </w:rPr>
      </w:pPr>
    </w:p>
    <w:p w:rsidR="00DB5DB6" w:rsidRDefault="00DB5DB6">
      <w:pPr>
        <w:suppressAutoHyphens/>
        <w:jc w:val="both"/>
        <w:rPr>
          <w:b/>
          <w:spacing w:val="-3"/>
        </w:rPr>
      </w:pPr>
      <w:r>
        <w:rPr>
          <w:b/>
          <w:spacing w:val="-3"/>
        </w:rPr>
        <w:t>Rule 4102   Public Nuisance</w:t>
      </w:r>
    </w:p>
    <w:p w:rsidR="00DB5DB6" w:rsidRDefault="00DB5DB6">
      <w:pPr>
        <w:suppressAutoHyphens/>
        <w:ind w:left="720"/>
        <w:jc w:val="both"/>
        <w:rPr>
          <w:spacing w:val="-3"/>
        </w:rPr>
      </w:pPr>
    </w:p>
    <w:p w:rsidR="00DB5DB6" w:rsidRDefault="00DB5DB6">
      <w:r>
        <w:t>Section 4.0 prohibits discharge of air contaminants which could cause injury, detriment, nuisance or annoyance to the public.  Public nuisance conditions are not expected as a result of these operations, provided the equipment is well maintained.  Therefore, compliance with this rule is expected.</w:t>
      </w:r>
    </w:p>
    <w:p w:rsidR="00DB5DB6" w:rsidRDefault="00DB5DB6"/>
    <w:p w:rsidR="00DB5DB6" w:rsidRDefault="00DB5DB6">
      <w:pPr>
        <w:ind w:left="720"/>
      </w:pPr>
      <w:r>
        <w:rPr>
          <w:b/>
          <w:color w:val="000000"/>
        </w:rPr>
        <w:t>California Health &amp; Safety Code 41700</w:t>
      </w:r>
      <w:r>
        <w:rPr>
          <w:b/>
          <w:color w:val="000000"/>
        </w:rPr>
        <w:tab/>
        <w:t>(Health Risk Assessment)</w:t>
      </w:r>
    </w:p>
    <w:p w:rsidR="00DB5DB6" w:rsidRDefault="00DB5DB6">
      <w:pPr>
        <w:suppressAutoHyphens/>
        <w:ind w:left="720"/>
        <w:jc w:val="both"/>
        <w:rPr>
          <w:spacing w:val="-3"/>
        </w:rPr>
      </w:pPr>
    </w:p>
    <w:p w:rsidR="00DB5DB6" w:rsidRDefault="00DB5DB6">
      <w:pPr>
        <w:suppressAutoHyphens/>
        <w:ind w:left="720"/>
      </w:pPr>
      <w:r>
        <w:rPr>
          <w:color w:val="800000"/>
        </w:rPr>
        <w:t>Discuss whether a Health Risk Assessment is required and/or the results of the HRA, including any special conditions to consider when issuing the ATC(s).</w:t>
      </w:r>
    </w:p>
    <w:p w:rsidR="00DB5DB6" w:rsidRDefault="00DB5DB6">
      <w:pPr>
        <w:suppressAutoHyphens/>
        <w:ind w:left="720"/>
      </w:pPr>
    </w:p>
    <w:p w:rsidR="00DB5DB6" w:rsidRDefault="00DB5DB6">
      <w:pPr>
        <w:suppressAutoHyphens/>
        <w:ind w:left="720"/>
        <w:rPr>
          <w:rFonts w:cs="Arial"/>
        </w:rPr>
      </w:pPr>
      <w:r>
        <w:rPr>
          <w:rFonts w:cs="Arial"/>
        </w:rPr>
        <w:t xml:space="preserve">District Policy APR 1905 – </w:t>
      </w:r>
      <w:r>
        <w:rPr>
          <w:spacing w:val="-3"/>
        </w:rPr>
        <w:t>Risk Management Policy for Permitting New and Modified Sources</w:t>
      </w:r>
      <w:r>
        <w:rPr>
          <w:rFonts w:cs="Arial"/>
        </w:rPr>
        <w:t xml:space="preserve"> specifies that for an increase in emissions associated with a proposed new source or modification, the District perform an analysis to determine the possible impact to the nearest resident or worksite.</w:t>
      </w:r>
    </w:p>
    <w:p w:rsidR="00DB5DB6" w:rsidRDefault="00DB5DB6">
      <w:pPr>
        <w:suppressAutoHyphens/>
        <w:ind w:left="720"/>
      </w:pPr>
    </w:p>
    <w:p w:rsidR="00DB5DB6" w:rsidRDefault="00DB5DB6">
      <w:pPr>
        <w:tabs>
          <w:tab w:val="left" w:pos="1890"/>
        </w:tabs>
        <w:autoSpaceDE w:val="0"/>
        <w:autoSpaceDN w:val="0"/>
        <w:adjustRightInd w:val="0"/>
        <w:ind w:left="720"/>
        <w:rPr>
          <w:i/>
          <w:iCs/>
          <w:color w:val="0000FF"/>
        </w:rPr>
      </w:pPr>
      <w:r>
        <w:rPr>
          <w:i/>
          <w:iCs/>
          <w:color w:val="0000FF"/>
          <w:u w:val="single"/>
        </w:rPr>
        <w:t>Example (a)</w:t>
      </w:r>
      <w:r>
        <w:rPr>
          <w:i/>
          <w:iCs/>
          <w:color w:val="0000FF"/>
        </w:rPr>
        <w:t>:</w:t>
      </w:r>
      <w:r>
        <w:rPr>
          <w:i/>
          <w:iCs/>
          <w:color w:val="0000FF"/>
        </w:rPr>
        <w:tab/>
        <w:t>(For a project with no increase in emissions.)</w:t>
      </w:r>
    </w:p>
    <w:p w:rsidR="00DB5DB6" w:rsidRDefault="00DB5DB6">
      <w:pPr>
        <w:tabs>
          <w:tab w:val="left" w:pos="1800"/>
        </w:tabs>
        <w:autoSpaceDE w:val="0"/>
        <w:autoSpaceDN w:val="0"/>
        <w:adjustRightInd w:val="0"/>
        <w:ind w:left="720"/>
        <w:rPr>
          <w:spacing w:val="-2"/>
        </w:rPr>
      </w:pPr>
      <w:r>
        <w:rPr>
          <w:spacing w:val="-2"/>
        </w:rPr>
        <w:t>As demonstrated above, there are no increases in emissions associated with this project, therefore a health risk assessment is not necessary and no further risk analysis is required.</w:t>
      </w:r>
    </w:p>
    <w:p w:rsidR="00DB5DB6" w:rsidRDefault="00DB5DB6">
      <w:pPr>
        <w:ind w:left="720"/>
        <w:rPr>
          <w:i/>
          <w:iCs/>
        </w:rPr>
      </w:pPr>
    </w:p>
    <w:p w:rsidR="00DB5DB6" w:rsidRDefault="00DB5DB6">
      <w:pPr>
        <w:ind w:left="720"/>
        <w:rPr>
          <w:i/>
          <w:iCs/>
          <w:color w:val="FF0000"/>
        </w:rPr>
      </w:pPr>
      <w:r>
        <w:rPr>
          <w:i/>
          <w:iCs/>
          <w:color w:val="FF0000"/>
        </w:rPr>
        <w:t>(</w:t>
      </w:r>
      <w:r>
        <w:rPr>
          <w:i/>
          <w:iCs/>
          <w:color w:val="FF0000"/>
          <w:u w:val="single"/>
        </w:rPr>
        <w:t>Note 1</w:t>
      </w:r>
      <w:r>
        <w:rPr>
          <w:i/>
          <w:iCs/>
          <w:color w:val="FF0000"/>
        </w:rPr>
        <w:t xml:space="preserve">: An HRA is necessary if there is a change in any HRA parameter, i.e. exhaust flow rate changes, stack changes, fuel use and type changes, receptor distances, etc.) </w:t>
      </w:r>
    </w:p>
    <w:p w:rsidR="00DB5DB6" w:rsidRDefault="00DB5DB6">
      <w:pPr>
        <w:ind w:left="720"/>
        <w:rPr>
          <w:i/>
          <w:iCs/>
        </w:rPr>
      </w:pPr>
    </w:p>
    <w:p w:rsidR="00DB5DB6" w:rsidRDefault="00DB5DB6">
      <w:pPr>
        <w:ind w:left="720"/>
        <w:rPr>
          <w:i/>
          <w:iCs/>
          <w:color w:val="FF0000"/>
        </w:rPr>
      </w:pPr>
      <w:r>
        <w:rPr>
          <w:i/>
          <w:iCs/>
          <w:color w:val="FF0000"/>
        </w:rPr>
        <w:t>(</w:t>
      </w:r>
      <w:r>
        <w:rPr>
          <w:i/>
          <w:iCs/>
          <w:color w:val="FF0000"/>
          <w:u w:val="single"/>
        </w:rPr>
        <w:t>Note 2</w:t>
      </w:r>
      <w:r>
        <w:rPr>
          <w:i/>
          <w:iCs/>
          <w:color w:val="FF0000"/>
        </w:rPr>
        <w:t>: If example (a) is used, delete the following sections, since they don’t apply if an HRA was not performed.)</w:t>
      </w:r>
    </w:p>
    <w:p w:rsidR="00DB5DB6" w:rsidRDefault="00DB5DB6">
      <w:pPr>
        <w:tabs>
          <w:tab w:val="left" w:pos="1800"/>
        </w:tabs>
        <w:autoSpaceDE w:val="0"/>
        <w:autoSpaceDN w:val="0"/>
        <w:adjustRightInd w:val="0"/>
        <w:ind w:left="720"/>
      </w:pPr>
    </w:p>
    <w:p w:rsidR="00DB5DB6" w:rsidRDefault="00DB5DB6">
      <w:pPr>
        <w:tabs>
          <w:tab w:val="left" w:pos="1890"/>
        </w:tabs>
        <w:autoSpaceDE w:val="0"/>
        <w:autoSpaceDN w:val="0"/>
        <w:adjustRightInd w:val="0"/>
        <w:ind w:left="720"/>
        <w:rPr>
          <w:i/>
          <w:iCs/>
          <w:color w:val="0000FF"/>
        </w:rPr>
      </w:pPr>
      <w:r>
        <w:rPr>
          <w:i/>
          <w:iCs/>
          <w:color w:val="0000FF"/>
          <w:u w:val="single"/>
        </w:rPr>
        <w:t>Example (b)</w:t>
      </w:r>
      <w:r>
        <w:rPr>
          <w:i/>
          <w:iCs/>
          <w:color w:val="0000FF"/>
        </w:rPr>
        <w:t>:</w:t>
      </w:r>
      <w:r>
        <w:rPr>
          <w:i/>
          <w:iCs/>
          <w:color w:val="0000FF"/>
        </w:rPr>
        <w:tab/>
        <w:t xml:space="preserve">(For a project with a Prioritization score </w:t>
      </w:r>
      <w:r>
        <w:rPr>
          <w:i/>
          <w:iCs/>
          <w:color w:val="0000FF"/>
        </w:rPr>
        <w:sym w:font="Symbol" w:char="F0A3"/>
      </w:r>
      <w:r>
        <w:rPr>
          <w:i/>
          <w:iCs/>
          <w:color w:val="0000FF"/>
        </w:rPr>
        <w:t xml:space="preserve"> 1.)</w:t>
      </w:r>
    </w:p>
    <w:p w:rsidR="00DB5DB6" w:rsidRDefault="00DB5DB6">
      <w:pPr>
        <w:suppressAutoHyphens/>
        <w:ind w:left="720"/>
        <w:rPr>
          <w:color w:val="000000"/>
        </w:rPr>
      </w:pPr>
      <w:r>
        <w:rPr>
          <w:rFonts w:cs="Arial"/>
        </w:rPr>
        <w:t xml:space="preserve">An HRA is not required for a project with a total facility prioritization score of less than or equal to one.  </w:t>
      </w:r>
      <w:r>
        <w:rPr>
          <w:spacing w:val="-2"/>
        </w:rPr>
        <w:t xml:space="preserve">According to the Technical Services </w:t>
      </w:r>
      <w:r>
        <w:rPr>
          <w:color w:val="000000"/>
          <w:spacing w:val="-2"/>
        </w:rPr>
        <w:t>Memo for this project (Appendix X), t</w:t>
      </w:r>
      <w:r>
        <w:rPr>
          <w:rFonts w:cs="Arial"/>
          <w:color w:val="000000"/>
        </w:rPr>
        <w:t xml:space="preserve">he total facility prioritization score including this project was less than or equal to one.  Therefore, no future analysis is required to determine the impact from this project and compliance </w:t>
      </w:r>
      <w:r>
        <w:rPr>
          <w:rFonts w:cs="Arial"/>
        </w:rPr>
        <w:t xml:space="preserve">with the District’s Risk Management Policy </w:t>
      </w:r>
      <w:r>
        <w:rPr>
          <w:rFonts w:cs="Arial"/>
          <w:color w:val="000000"/>
        </w:rPr>
        <w:t>is expected.</w:t>
      </w:r>
    </w:p>
    <w:p w:rsidR="00DB5DB6" w:rsidRDefault="00DB5DB6">
      <w:pPr>
        <w:tabs>
          <w:tab w:val="left" w:pos="1800"/>
        </w:tabs>
        <w:autoSpaceDE w:val="0"/>
        <w:autoSpaceDN w:val="0"/>
        <w:adjustRightInd w:val="0"/>
        <w:ind w:left="720"/>
        <w:rPr>
          <w:i/>
          <w:iCs/>
          <w:u w:val="single"/>
        </w:rPr>
      </w:pPr>
    </w:p>
    <w:p w:rsidR="00DB5DB6" w:rsidRDefault="00DB5DB6">
      <w:pPr>
        <w:tabs>
          <w:tab w:val="left" w:pos="1890"/>
        </w:tabs>
        <w:autoSpaceDE w:val="0"/>
        <w:autoSpaceDN w:val="0"/>
        <w:adjustRightInd w:val="0"/>
        <w:ind w:left="720"/>
        <w:rPr>
          <w:i/>
          <w:iCs/>
          <w:color w:val="0000FF"/>
        </w:rPr>
      </w:pPr>
      <w:r>
        <w:rPr>
          <w:i/>
          <w:iCs/>
          <w:color w:val="0000FF"/>
          <w:u w:val="single"/>
        </w:rPr>
        <w:t>Example (c)</w:t>
      </w:r>
      <w:r>
        <w:rPr>
          <w:i/>
          <w:iCs/>
          <w:color w:val="0000FF"/>
        </w:rPr>
        <w:t>:</w:t>
      </w:r>
      <w:r>
        <w:rPr>
          <w:i/>
          <w:iCs/>
          <w:color w:val="0000FF"/>
        </w:rPr>
        <w:tab/>
        <w:t>(For a project with a Prioritization score &gt; 1.)</w:t>
      </w:r>
    </w:p>
    <w:p w:rsidR="00DB5DB6" w:rsidRDefault="00DB5DB6">
      <w:pPr>
        <w:suppressAutoHyphens/>
        <w:ind w:left="720"/>
        <w:rPr>
          <w:rFonts w:cs="Arial"/>
          <w:color w:val="000000"/>
        </w:rPr>
      </w:pPr>
      <w:r>
        <w:rPr>
          <w:rFonts w:cs="Arial"/>
        </w:rPr>
        <w:lastRenderedPageBreak/>
        <w:t xml:space="preserve">An HRA is not required for a project with a total facility prioritization score of less than one.  </w:t>
      </w:r>
      <w:r>
        <w:rPr>
          <w:spacing w:val="-2"/>
        </w:rPr>
        <w:t xml:space="preserve">According to the Technical Services </w:t>
      </w:r>
      <w:r>
        <w:rPr>
          <w:color w:val="000000"/>
          <w:spacing w:val="-2"/>
        </w:rPr>
        <w:t>Memo for this project (Appendix X), t</w:t>
      </w:r>
      <w:r>
        <w:rPr>
          <w:rFonts w:cs="Arial"/>
          <w:color w:val="000000"/>
        </w:rPr>
        <w:t>he total facility prioritization score including this project was greater than one.  Therefore, a health risk assessment was required to determine the short-term acute and long-term chronic exposure from this project.</w:t>
      </w:r>
    </w:p>
    <w:p w:rsidR="00DB5DB6" w:rsidRDefault="00DB5DB6">
      <w:pPr>
        <w:suppressAutoHyphens/>
        <w:ind w:left="720"/>
        <w:rPr>
          <w:rFonts w:cs="Arial"/>
        </w:rPr>
      </w:pPr>
    </w:p>
    <w:p w:rsidR="00DB5DB6" w:rsidRDefault="00DB5DB6">
      <w:pPr>
        <w:ind w:left="720"/>
        <w:rPr>
          <w:rFonts w:cs="Arial"/>
        </w:rPr>
      </w:pPr>
      <w:r>
        <w:rPr>
          <w:rFonts w:cs="Arial"/>
        </w:rPr>
        <w:t>The cancer risk for this project is shown below:</w:t>
      </w:r>
    </w:p>
    <w:p w:rsidR="00DB5DB6" w:rsidRDefault="00DB5DB6">
      <w:pPr>
        <w:ind w:left="1440"/>
        <w:rPr>
          <w:rFonts w:cs="Arial"/>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0"/>
        <w:gridCol w:w="2430"/>
      </w:tblGrid>
      <w:tr w:rsidR="00DB5DB6" w:rsidTr="00D917EC">
        <w:trPr>
          <w:cantSplit/>
          <w:trHeight w:val="35"/>
        </w:trPr>
        <w:tc>
          <w:tcPr>
            <w:tcW w:w="7668" w:type="dxa"/>
            <w:gridSpan w:val="3"/>
            <w:tcBorders>
              <w:top w:val="double" w:sz="6" w:space="0" w:color="auto"/>
              <w:left w:val="double" w:sz="6" w:space="0" w:color="auto"/>
              <w:bottom w:val="double" w:sz="6" w:space="0" w:color="auto"/>
              <w:right w:val="double" w:sz="6" w:space="0" w:color="auto"/>
            </w:tcBorders>
            <w:shd w:val="clear" w:color="auto" w:fill="auto"/>
            <w:vAlign w:val="center"/>
          </w:tcPr>
          <w:p w:rsidR="00DB5DB6" w:rsidRDefault="00DB5DB6">
            <w:pPr>
              <w:keepNext/>
              <w:suppressAutoHyphens/>
              <w:jc w:val="center"/>
            </w:pPr>
            <w:r>
              <w:rPr>
                <w:b/>
                <w:bCs/>
              </w:rPr>
              <w:t>HRA Summary</w:t>
            </w:r>
          </w:p>
        </w:tc>
      </w:tr>
      <w:tr w:rsidR="00DB5DB6" w:rsidTr="00D917EC">
        <w:trPr>
          <w:cantSplit/>
          <w:trHeight w:val="35"/>
        </w:trPr>
        <w:tc>
          <w:tcPr>
            <w:tcW w:w="2268" w:type="dxa"/>
            <w:tcBorders>
              <w:top w:val="double" w:sz="6" w:space="0" w:color="auto"/>
              <w:left w:val="double" w:sz="6" w:space="0" w:color="auto"/>
              <w:bottom w:val="single" w:sz="12" w:space="0" w:color="auto"/>
              <w:right w:val="nil"/>
            </w:tcBorders>
            <w:shd w:val="clear" w:color="auto" w:fill="auto"/>
            <w:vAlign w:val="center"/>
          </w:tcPr>
          <w:p w:rsidR="00DB5DB6" w:rsidRDefault="00DB5DB6">
            <w:pPr>
              <w:keepNext/>
              <w:suppressAutoHyphens/>
              <w:jc w:val="center"/>
            </w:pPr>
            <w:r>
              <w:t>Unit</w:t>
            </w:r>
          </w:p>
        </w:tc>
        <w:tc>
          <w:tcPr>
            <w:tcW w:w="2970" w:type="dxa"/>
            <w:tcBorders>
              <w:top w:val="double" w:sz="6" w:space="0" w:color="auto"/>
              <w:left w:val="single" w:sz="4" w:space="0" w:color="auto"/>
              <w:bottom w:val="single" w:sz="12" w:space="0" w:color="auto"/>
              <w:right w:val="single" w:sz="4" w:space="0" w:color="auto"/>
            </w:tcBorders>
            <w:shd w:val="clear" w:color="auto" w:fill="auto"/>
            <w:vAlign w:val="center"/>
          </w:tcPr>
          <w:p w:rsidR="00DB5DB6" w:rsidRDefault="00DB5DB6">
            <w:pPr>
              <w:keepNext/>
              <w:suppressAutoHyphens/>
              <w:jc w:val="center"/>
            </w:pPr>
            <w:r>
              <w:t>Cancer Risk</w:t>
            </w:r>
          </w:p>
        </w:tc>
        <w:tc>
          <w:tcPr>
            <w:tcW w:w="2430" w:type="dxa"/>
            <w:tcBorders>
              <w:top w:val="double" w:sz="6" w:space="0" w:color="auto"/>
              <w:left w:val="nil"/>
              <w:bottom w:val="single" w:sz="12" w:space="0" w:color="auto"/>
              <w:right w:val="double" w:sz="6" w:space="0" w:color="auto"/>
            </w:tcBorders>
            <w:shd w:val="clear" w:color="auto" w:fill="auto"/>
            <w:vAlign w:val="center"/>
          </w:tcPr>
          <w:p w:rsidR="00DB5DB6" w:rsidRDefault="00DB5DB6">
            <w:pPr>
              <w:keepNext/>
              <w:suppressAutoHyphens/>
              <w:jc w:val="center"/>
            </w:pPr>
            <w:r>
              <w:t>T-BACT Required</w:t>
            </w:r>
          </w:p>
        </w:tc>
      </w:tr>
      <w:tr w:rsidR="00DB5DB6">
        <w:trPr>
          <w:cantSplit/>
          <w:trHeight w:val="300"/>
        </w:trPr>
        <w:tc>
          <w:tcPr>
            <w:tcW w:w="2268" w:type="dxa"/>
            <w:tcBorders>
              <w:top w:val="single" w:sz="12" w:space="0" w:color="auto"/>
              <w:left w:val="double" w:sz="6" w:space="0" w:color="auto"/>
              <w:bottom w:val="double" w:sz="6" w:space="0" w:color="auto"/>
            </w:tcBorders>
            <w:vAlign w:val="center"/>
          </w:tcPr>
          <w:p w:rsidR="00DB5DB6" w:rsidRDefault="00DB5DB6">
            <w:pPr>
              <w:keepNext/>
              <w:suppressAutoHyphens/>
              <w:jc w:val="center"/>
              <w:rPr>
                <w:color w:val="0000FF"/>
              </w:rPr>
            </w:pPr>
            <w:r>
              <w:rPr>
                <w:color w:val="0000FF"/>
              </w:rPr>
              <w:t>X-XXXX-X-X</w:t>
            </w:r>
          </w:p>
        </w:tc>
        <w:tc>
          <w:tcPr>
            <w:tcW w:w="2970" w:type="dxa"/>
            <w:tcBorders>
              <w:top w:val="single" w:sz="12" w:space="0" w:color="auto"/>
              <w:bottom w:val="double" w:sz="6" w:space="0" w:color="auto"/>
            </w:tcBorders>
            <w:vAlign w:val="center"/>
          </w:tcPr>
          <w:p w:rsidR="00DB5DB6" w:rsidRDefault="00DB5DB6">
            <w:pPr>
              <w:keepNext/>
              <w:suppressAutoHyphens/>
              <w:jc w:val="center"/>
            </w:pPr>
            <w:r>
              <w:rPr>
                <w:color w:val="0000FF"/>
              </w:rPr>
              <w:t>XX</w:t>
            </w:r>
            <w:r>
              <w:t xml:space="preserve"> per million</w:t>
            </w:r>
          </w:p>
        </w:tc>
        <w:tc>
          <w:tcPr>
            <w:tcW w:w="2430" w:type="dxa"/>
            <w:tcBorders>
              <w:top w:val="single" w:sz="12" w:space="0" w:color="auto"/>
              <w:bottom w:val="double" w:sz="6" w:space="0" w:color="auto"/>
              <w:right w:val="double" w:sz="6" w:space="0" w:color="auto"/>
            </w:tcBorders>
            <w:vAlign w:val="center"/>
          </w:tcPr>
          <w:p w:rsidR="00DB5DB6" w:rsidRDefault="00DB5DB6">
            <w:pPr>
              <w:keepNext/>
              <w:suppressAutoHyphens/>
              <w:jc w:val="center"/>
              <w:rPr>
                <w:color w:val="0000FF"/>
              </w:rPr>
            </w:pPr>
            <w:r>
              <w:rPr>
                <w:color w:val="0000FF"/>
              </w:rPr>
              <w:t>Yes/No</w:t>
            </w:r>
          </w:p>
        </w:tc>
      </w:tr>
    </w:tbl>
    <w:p w:rsidR="00DB5DB6" w:rsidRDefault="00DB5DB6">
      <w:pPr>
        <w:ind w:left="1440"/>
        <w:rPr>
          <w:highlight w:val="yellow"/>
        </w:rPr>
      </w:pPr>
    </w:p>
    <w:p w:rsidR="00DB5DB6" w:rsidRDefault="00DB5DB6">
      <w:pPr>
        <w:ind w:left="1440"/>
        <w:rPr>
          <w:b/>
        </w:rPr>
      </w:pPr>
      <w:r>
        <w:rPr>
          <w:b/>
        </w:rPr>
        <w:t>Discussion of T-BACT</w:t>
      </w:r>
    </w:p>
    <w:p w:rsidR="00DB5DB6" w:rsidRDefault="00DB5DB6">
      <w:pPr>
        <w:ind w:left="1800"/>
        <w:rPr>
          <w:spacing w:val="-3"/>
        </w:rPr>
      </w:pPr>
    </w:p>
    <w:p w:rsidR="00DB5DB6" w:rsidRDefault="00DB5DB6">
      <w:pPr>
        <w:suppressAutoHyphens/>
        <w:ind w:left="1440"/>
        <w:rPr>
          <w:color w:val="800000"/>
        </w:rPr>
      </w:pPr>
      <w:r>
        <w:rPr>
          <w:color w:val="800000"/>
        </w:rPr>
        <w:t>Discuss whether a T-BACT is or is not triggered and the requirements which satisfy T-BACT (if any).</w:t>
      </w:r>
    </w:p>
    <w:p w:rsidR="00DB5DB6" w:rsidRDefault="00DB5DB6">
      <w:pPr>
        <w:suppressAutoHyphens/>
        <w:ind w:left="1440"/>
      </w:pPr>
    </w:p>
    <w:p w:rsidR="00DB5DB6" w:rsidRDefault="00DB5DB6">
      <w:pPr>
        <w:tabs>
          <w:tab w:val="left" w:pos="2250"/>
        </w:tabs>
        <w:autoSpaceDE w:val="0"/>
        <w:autoSpaceDN w:val="0"/>
        <w:adjustRightInd w:val="0"/>
        <w:ind w:left="1440"/>
        <w:rPr>
          <w:i/>
          <w:iCs/>
          <w:color w:val="0000FF"/>
        </w:rPr>
      </w:pPr>
      <w:r>
        <w:rPr>
          <w:i/>
          <w:iCs/>
          <w:color w:val="0000FF"/>
          <w:u w:val="single"/>
        </w:rPr>
        <w:t>Example (a)</w:t>
      </w:r>
      <w:r>
        <w:rPr>
          <w:i/>
          <w:iCs/>
          <w:color w:val="0000FF"/>
        </w:rPr>
        <w:t>:</w:t>
      </w:r>
      <w:r>
        <w:rPr>
          <w:i/>
          <w:iCs/>
          <w:color w:val="0000FF"/>
        </w:rPr>
        <w:tab/>
        <w:t>(For a project where T-BACT not triggered.)</w:t>
      </w:r>
    </w:p>
    <w:p w:rsidR="00DB5DB6" w:rsidRDefault="00DB5DB6">
      <w:pPr>
        <w:ind w:left="1440"/>
        <w:rPr>
          <w:highlight w:val="yellow"/>
        </w:rPr>
      </w:pPr>
      <w:r>
        <w:t>BACT for toxic emission control (T-BACT) is required if the cancer risk exceeds one in one million.  As demonstrated above, T-BACT is not required for this project because the HRA indicates that the risk is not above the District’s thresholds for triggering T-BACT requirements;</w:t>
      </w:r>
      <w:r>
        <w:rPr>
          <w:rFonts w:cs="Arial"/>
        </w:rPr>
        <w:t xml:space="preserve"> therefore, compliance with the District’s Risk Management Policy is expected</w:t>
      </w:r>
      <w:r>
        <w:t>.</w:t>
      </w:r>
    </w:p>
    <w:p w:rsidR="00DB5DB6" w:rsidRDefault="00DB5DB6">
      <w:pPr>
        <w:ind w:left="1440"/>
        <w:rPr>
          <w:color w:val="000000"/>
          <w:highlight w:val="yellow"/>
        </w:rPr>
      </w:pPr>
    </w:p>
    <w:p w:rsidR="00DB5DB6" w:rsidRDefault="00DB5DB6">
      <w:pPr>
        <w:autoSpaceDE w:val="0"/>
        <w:autoSpaceDN w:val="0"/>
        <w:adjustRightInd w:val="0"/>
        <w:ind w:left="2970" w:hanging="1530"/>
        <w:rPr>
          <w:i/>
          <w:iCs/>
          <w:color w:val="0000FF"/>
        </w:rPr>
      </w:pPr>
      <w:r>
        <w:rPr>
          <w:i/>
          <w:iCs/>
          <w:color w:val="0000FF"/>
          <w:u w:val="single"/>
        </w:rPr>
        <w:t>Example (b)</w:t>
      </w:r>
      <w:r>
        <w:rPr>
          <w:i/>
          <w:iCs/>
          <w:color w:val="0000FF"/>
        </w:rPr>
        <w:t>:</w:t>
      </w:r>
      <w:r>
        <w:rPr>
          <w:i/>
          <w:iCs/>
          <w:color w:val="0000FF"/>
        </w:rPr>
        <w:tab/>
        <w:t>(For a project where T-BACT is triggered)</w:t>
      </w:r>
    </w:p>
    <w:p w:rsidR="00DB5DB6" w:rsidRDefault="00DB5DB6">
      <w:pPr>
        <w:ind w:left="1440"/>
        <w:rPr>
          <w:color w:val="000000"/>
          <w:highlight w:val="yellow"/>
        </w:rPr>
      </w:pPr>
      <w:r>
        <w:t>BACT for toxic emission control (T-BACT) is required if the cancer risk exceeds one in one million.  As demonstrated above, T-BACT is required for this project because the HRA indicates that the risk is above the District’s thresholds for triggering T-BACT requirements.</w:t>
      </w:r>
    </w:p>
    <w:p w:rsidR="00DB5DB6" w:rsidRDefault="00DB5DB6">
      <w:pPr>
        <w:ind w:left="1440"/>
        <w:rPr>
          <w:color w:val="000000"/>
        </w:rPr>
      </w:pPr>
    </w:p>
    <w:p w:rsidR="00DB5DB6" w:rsidRDefault="00DB5DB6">
      <w:pPr>
        <w:ind w:left="1440"/>
      </w:pPr>
      <w:r>
        <w:t xml:space="preserve">For this project T-BACT is triggered for VOC.  T-BACT is satisfied with BACT for VOC (see Appendix X), which is the use of a </w:t>
      </w:r>
      <w:r>
        <w:rPr>
          <w:color w:val="0000FF"/>
          <w:spacing w:val="-3"/>
        </w:rPr>
        <w:t>carbon adsorption system</w:t>
      </w:r>
      <w:r>
        <w:rPr>
          <w:spacing w:val="-3"/>
        </w:rPr>
        <w:t xml:space="preserve"> </w:t>
      </w:r>
      <w:r>
        <w:rPr>
          <w:color w:val="0000FF"/>
          <w:spacing w:val="-3"/>
        </w:rPr>
        <w:t>with a 95% or greater control efficiency</w:t>
      </w:r>
      <w:r>
        <w:t>;</w:t>
      </w:r>
      <w:r>
        <w:rPr>
          <w:rFonts w:cs="Arial"/>
        </w:rPr>
        <w:t xml:space="preserve"> therefore, compliance with the District’s Risk Management Policy is expected</w:t>
      </w:r>
      <w:r>
        <w:t>.</w:t>
      </w:r>
    </w:p>
    <w:p w:rsidR="00DB5DB6" w:rsidRDefault="00DB5DB6">
      <w:pPr>
        <w:ind w:left="1440"/>
      </w:pPr>
    </w:p>
    <w:p w:rsidR="00DB5DB6" w:rsidRDefault="00DB5DB6">
      <w:pPr>
        <w:ind w:left="1440"/>
        <w:rPr>
          <w:color w:val="FF0000"/>
        </w:rPr>
      </w:pPr>
      <w:r>
        <w:rPr>
          <w:i/>
          <w:iCs/>
          <w:color w:val="FF0000"/>
        </w:rPr>
        <w:t>(</w:t>
      </w:r>
      <w:r>
        <w:rPr>
          <w:i/>
          <w:iCs/>
          <w:color w:val="FF0000"/>
          <w:u w:val="single"/>
        </w:rPr>
        <w:t>Note</w:t>
      </w:r>
      <w:r>
        <w:rPr>
          <w:i/>
          <w:iCs/>
          <w:color w:val="FF0000"/>
        </w:rPr>
        <w:t>: List all conditions necessary to ensure that the equipment is operated in the manner assumed when the RMR was performed.</w:t>
      </w:r>
    </w:p>
    <w:p w:rsidR="00DB5DB6" w:rsidRDefault="00DB5DB6">
      <w:pPr>
        <w:ind w:left="2970"/>
        <w:jc w:val="both"/>
      </w:pPr>
    </w:p>
    <w:p w:rsidR="00DB5DB6" w:rsidRDefault="00DB5DB6">
      <w:pPr>
        <w:suppressAutoHyphens/>
        <w:ind w:left="1440"/>
        <w:jc w:val="both"/>
      </w:pPr>
      <w:r>
        <w:t>See Appendix Il: Health Risk Assessment Summary</w:t>
      </w:r>
    </w:p>
    <w:p w:rsidR="00DB5DB6" w:rsidRDefault="00DB5DB6">
      <w:pPr>
        <w:suppressAutoHyphens/>
        <w:ind w:left="1890"/>
        <w:jc w:val="both"/>
        <w:rPr>
          <w:i/>
          <w:iCs/>
          <w:color w:val="FF0000"/>
        </w:rPr>
      </w:pPr>
    </w:p>
    <w:p w:rsidR="00DB5DB6" w:rsidRDefault="00DB5DB6">
      <w:pPr>
        <w:keepNext/>
        <w:jc w:val="both"/>
        <w:rPr>
          <w:b/>
          <w:bCs/>
        </w:rPr>
      </w:pPr>
      <w:r>
        <w:rPr>
          <w:b/>
          <w:bCs/>
        </w:rPr>
        <w:t>Rule 4651</w:t>
      </w:r>
      <w:r>
        <w:rPr>
          <w:b/>
          <w:bCs/>
        </w:rPr>
        <w:tab/>
        <w:t>Soil Decontamination Operations</w:t>
      </w:r>
    </w:p>
    <w:p w:rsidR="00DB5DB6" w:rsidRDefault="00DB5DB6">
      <w:pPr>
        <w:keepNext/>
        <w:ind w:left="720"/>
        <w:jc w:val="both"/>
      </w:pPr>
    </w:p>
    <w:p w:rsidR="00DB5DB6" w:rsidRDefault="00DB5DB6">
      <w:pPr>
        <w:pStyle w:val="BodyText3"/>
        <w:suppressAutoHyphens w:val="0"/>
        <w:rPr>
          <w:rFonts w:cs="Arial"/>
          <w:spacing w:val="0"/>
          <w:szCs w:val="24"/>
        </w:rPr>
      </w:pPr>
      <w:r>
        <w:rPr>
          <w:rFonts w:cs="Arial"/>
          <w:spacing w:val="0"/>
          <w:szCs w:val="24"/>
        </w:rPr>
        <w:t>The applicant is not proposing to excavate, transport, handle, ex-situ decontaminate, or dispose contaminated soil.  Therefore, per section 2.0, this rule is not applicable.</w:t>
      </w:r>
    </w:p>
    <w:p w:rsidR="00DB5DB6" w:rsidRDefault="00DB5DB6">
      <w:pPr>
        <w:ind w:left="720"/>
        <w:jc w:val="both"/>
      </w:pPr>
    </w:p>
    <w:p w:rsidR="005425CB" w:rsidRDefault="005425CB" w:rsidP="005425CB">
      <w:pPr>
        <w:rPr>
          <w:b/>
          <w:bCs/>
        </w:rPr>
      </w:pPr>
      <w:r>
        <w:rPr>
          <w:b/>
          <w:bCs/>
        </w:rPr>
        <w:lastRenderedPageBreak/>
        <w:t>California Health &amp; Safety Code 42301.6</w:t>
      </w:r>
      <w:r>
        <w:rPr>
          <w:b/>
          <w:bCs/>
        </w:rPr>
        <w:tab/>
        <w:t>(School Notice)</w:t>
      </w:r>
    </w:p>
    <w:p w:rsidR="005425CB" w:rsidRDefault="005425CB" w:rsidP="005425CB"/>
    <w:p w:rsidR="005425CB" w:rsidRDefault="005425CB" w:rsidP="005425CB">
      <w:pPr>
        <w:rPr>
          <w:color w:val="800000"/>
        </w:rPr>
      </w:pPr>
      <w:r>
        <w:rPr>
          <w:color w:val="800000"/>
        </w:rPr>
        <w:t>Reference project location and its proximity to a school and state whether or not school notice is required for this project.</w:t>
      </w:r>
    </w:p>
    <w:p w:rsidR="005425CB" w:rsidRDefault="005425CB" w:rsidP="005425CB"/>
    <w:p w:rsidR="005425CB" w:rsidRDefault="005425CB" w:rsidP="005425CB">
      <w:pPr>
        <w:tabs>
          <w:tab w:val="left" w:pos="1530"/>
        </w:tabs>
        <w:autoSpaceDE w:val="0"/>
        <w:autoSpaceDN w:val="0"/>
        <w:adjustRightInd w:val="0"/>
        <w:rPr>
          <w:i/>
          <w:iCs/>
          <w:color w:val="0000FF"/>
        </w:rPr>
      </w:pPr>
      <w:r>
        <w:rPr>
          <w:i/>
          <w:iCs/>
          <w:color w:val="0000FF"/>
          <w:u w:val="single"/>
        </w:rPr>
        <w:t>Example (a)</w:t>
      </w:r>
      <w:r>
        <w:rPr>
          <w:i/>
          <w:iCs/>
          <w:color w:val="0000FF"/>
        </w:rPr>
        <w:t>:</w:t>
      </w:r>
      <w:r>
        <w:rPr>
          <w:i/>
          <w:iCs/>
          <w:color w:val="0000FF"/>
        </w:rPr>
        <w:tab/>
        <w:t>(For a Non-School Notice project - &gt; 1,000 feet.)</w:t>
      </w:r>
    </w:p>
    <w:p w:rsidR="005425CB" w:rsidRDefault="005425CB" w:rsidP="005425CB">
      <w:r>
        <w:t>The District has verified that this site is not located within 1,000 feet of a school.  Therefore, pursuant to California Health and Safety Code 42301.6, a school notice is not required.</w:t>
      </w:r>
    </w:p>
    <w:p w:rsidR="005425CB" w:rsidRDefault="005425CB" w:rsidP="005425CB"/>
    <w:p w:rsidR="005425CB" w:rsidRDefault="005425CB" w:rsidP="005425CB">
      <w:pPr>
        <w:tabs>
          <w:tab w:val="left" w:pos="1530"/>
        </w:tabs>
        <w:autoSpaceDE w:val="0"/>
        <w:autoSpaceDN w:val="0"/>
        <w:adjustRightInd w:val="0"/>
        <w:rPr>
          <w:i/>
          <w:iCs/>
          <w:color w:val="0000FF"/>
        </w:rPr>
      </w:pPr>
      <w:r>
        <w:rPr>
          <w:i/>
          <w:iCs/>
          <w:color w:val="0000FF"/>
          <w:u w:val="single"/>
        </w:rPr>
        <w:t>Example (b)</w:t>
      </w:r>
      <w:r>
        <w:rPr>
          <w:i/>
          <w:iCs/>
          <w:color w:val="0000FF"/>
        </w:rPr>
        <w:t>:</w:t>
      </w:r>
      <w:r>
        <w:rPr>
          <w:i/>
          <w:iCs/>
          <w:color w:val="0000FF"/>
        </w:rPr>
        <w:tab/>
        <w:t>(For a Non-School Notice project – no increase in emissions)</w:t>
      </w:r>
    </w:p>
    <w:p w:rsidR="005425CB" w:rsidRDefault="005425CB" w:rsidP="005425CB">
      <w:r>
        <w:t>The District has verified that this site is located within 1,000 feet of a school.  However, pursuant to California Health and Safety Code 42301.6, since this project will not result in an increase in emissions, a school notice is not required.</w:t>
      </w:r>
    </w:p>
    <w:p w:rsidR="005425CB" w:rsidRDefault="005425CB" w:rsidP="005425CB"/>
    <w:p w:rsidR="005425CB" w:rsidRDefault="005425CB" w:rsidP="005425CB">
      <w:pPr>
        <w:tabs>
          <w:tab w:val="left" w:pos="1530"/>
        </w:tabs>
        <w:autoSpaceDE w:val="0"/>
        <w:autoSpaceDN w:val="0"/>
        <w:adjustRightInd w:val="0"/>
        <w:rPr>
          <w:i/>
          <w:iCs/>
          <w:color w:val="0000FF"/>
        </w:rPr>
      </w:pPr>
      <w:r>
        <w:rPr>
          <w:i/>
          <w:iCs/>
          <w:color w:val="0000FF"/>
          <w:u w:val="single"/>
        </w:rPr>
        <w:t>Example (c)</w:t>
      </w:r>
      <w:r>
        <w:rPr>
          <w:i/>
          <w:iCs/>
          <w:color w:val="0000FF"/>
        </w:rPr>
        <w:t>:</w:t>
      </w:r>
      <w:r>
        <w:rPr>
          <w:i/>
          <w:iCs/>
          <w:color w:val="0000FF"/>
        </w:rPr>
        <w:tab/>
        <w:t>(For a School Notice project.)</w:t>
      </w:r>
    </w:p>
    <w:p w:rsidR="005425CB" w:rsidRDefault="005425CB" w:rsidP="005425CB">
      <w:r>
        <w:t>The District has verified that this site is located within 1,000 feet of the following school:</w:t>
      </w:r>
    </w:p>
    <w:p w:rsidR="005425CB" w:rsidRDefault="005425CB" w:rsidP="005425CB"/>
    <w:p w:rsidR="005425CB" w:rsidRDefault="005425CB" w:rsidP="005425CB">
      <w:pPr>
        <w:rPr>
          <w:color w:val="0000FF"/>
        </w:rPr>
      </w:pPr>
      <w:r>
        <w:t xml:space="preserve">School Name: </w:t>
      </w:r>
      <w:r>
        <w:tab/>
      </w:r>
      <w:r>
        <w:rPr>
          <w:color w:val="0000FF"/>
        </w:rPr>
        <w:t>[Name]</w:t>
      </w:r>
    </w:p>
    <w:p w:rsidR="005425CB" w:rsidRDefault="005425CB" w:rsidP="005425CB">
      <w:pPr>
        <w:rPr>
          <w:color w:val="0000FF"/>
        </w:rPr>
      </w:pPr>
      <w:r>
        <w:t>Address:</w:t>
      </w:r>
      <w:r>
        <w:rPr>
          <w:color w:val="0000FF"/>
        </w:rPr>
        <w:tab/>
      </w:r>
      <w:r>
        <w:rPr>
          <w:color w:val="0000FF"/>
        </w:rPr>
        <w:tab/>
        <w:t>[Address]</w:t>
      </w:r>
    </w:p>
    <w:p w:rsidR="005425CB" w:rsidRDefault="005425CB" w:rsidP="005425CB">
      <w:pPr>
        <w:rPr>
          <w:color w:val="0000FF"/>
        </w:rPr>
      </w:pPr>
    </w:p>
    <w:p w:rsidR="005425CB" w:rsidRDefault="005425CB" w:rsidP="005425CB">
      <w:r>
        <w:t xml:space="preserve">Therefore, pursuant to California Health and Safety Code 42301.6, a school notice is required. </w:t>
      </w:r>
    </w:p>
    <w:p w:rsidR="005425CB" w:rsidRDefault="005425CB" w:rsidP="005425CB">
      <w:r>
        <w:t xml:space="preserve">Prior to the issuance of the ATC for this equipment, notices will be provided to the parents/guardians of all students of the affected school, and will be sent to all residents within 1,000 </w:t>
      </w:r>
      <w:r w:rsidR="007C7DA4">
        <w:t>ft.</w:t>
      </w:r>
      <w:r>
        <w:t xml:space="preserve"> of the site.  </w:t>
      </w:r>
    </w:p>
    <w:p w:rsidR="005425CB" w:rsidRDefault="005425CB" w:rsidP="005425CB"/>
    <w:p w:rsidR="005425CB" w:rsidRPr="005425CB" w:rsidRDefault="005425CB" w:rsidP="005425CB">
      <w:pPr>
        <w:pStyle w:val="BodyText3"/>
        <w:rPr>
          <w:color w:val="0000FF"/>
        </w:rPr>
      </w:pPr>
      <w:r w:rsidRPr="005425CB">
        <w:rPr>
          <w:color w:val="0000FF"/>
        </w:rPr>
        <w:t xml:space="preserve">[If there is no school w/in ¼ mile of the emissions increase, include the following discussion, otherwise delete]: </w:t>
      </w:r>
    </w:p>
    <w:p w:rsidR="005425CB" w:rsidRDefault="005425CB" w:rsidP="005425CB">
      <w:r>
        <w:t>The District has verified that there are no additional schools within ¼ mile of the emission source.</w:t>
      </w:r>
    </w:p>
    <w:p w:rsidR="005425CB" w:rsidRDefault="005425CB" w:rsidP="005425CB"/>
    <w:p w:rsidR="005425CB" w:rsidRPr="005425CB" w:rsidRDefault="005425CB" w:rsidP="005425CB">
      <w:pPr>
        <w:pStyle w:val="BodyText3"/>
        <w:rPr>
          <w:color w:val="0000FF"/>
        </w:rPr>
      </w:pPr>
      <w:r w:rsidRPr="005425CB">
        <w:rPr>
          <w:color w:val="0000FF"/>
        </w:rPr>
        <w:t xml:space="preserve">[If there is a school w/in ¼ mile of the emissions increase, include the following discussion, otherwise delete]: </w:t>
      </w:r>
    </w:p>
    <w:p w:rsidR="005425CB" w:rsidRDefault="005425CB" w:rsidP="005425CB">
      <w:r>
        <w:t>Since a school notice has been triggered (due to the above-listed school within 1,000 of the emission source), notices will also be provided to the parents/guardians of all students from all school sites within ¼ mile of the emission source.  The following schools(s) are within ¼ mile of the emission source:</w:t>
      </w:r>
    </w:p>
    <w:p w:rsidR="005425CB" w:rsidRDefault="005425CB" w:rsidP="005425CB"/>
    <w:p w:rsidR="005425CB" w:rsidRDefault="005425CB" w:rsidP="005425CB">
      <w:pPr>
        <w:rPr>
          <w:color w:val="0000FF"/>
        </w:rPr>
      </w:pPr>
      <w:r>
        <w:t xml:space="preserve">School Name: </w:t>
      </w:r>
      <w:r>
        <w:tab/>
      </w:r>
      <w:r>
        <w:rPr>
          <w:color w:val="0000FF"/>
        </w:rPr>
        <w:t>[Name]</w:t>
      </w:r>
    </w:p>
    <w:p w:rsidR="005425CB" w:rsidRDefault="005425CB" w:rsidP="005425CB">
      <w:pPr>
        <w:rPr>
          <w:color w:val="0000FF"/>
        </w:rPr>
      </w:pPr>
      <w:r>
        <w:t>Address:</w:t>
      </w:r>
      <w:r>
        <w:rPr>
          <w:color w:val="0000FF"/>
        </w:rPr>
        <w:tab/>
      </w:r>
      <w:r>
        <w:rPr>
          <w:color w:val="0000FF"/>
        </w:rPr>
        <w:tab/>
        <w:t>[Address]</w:t>
      </w:r>
    </w:p>
    <w:p w:rsidR="005425CB" w:rsidRPr="005425CB" w:rsidRDefault="005425CB" w:rsidP="005425CB">
      <w:pPr>
        <w:pStyle w:val="BodyText3"/>
        <w:rPr>
          <w:color w:val="0000FF"/>
        </w:rPr>
      </w:pPr>
      <w:r w:rsidRPr="005425CB">
        <w:rPr>
          <w:color w:val="0000FF"/>
        </w:rPr>
        <w:t>(add additional schools if necessary)</w:t>
      </w:r>
    </w:p>
    <w:p w:rsidR="005425CB" w:rsidRDefault="005425CB" w:rsidP="005425CB">
      <w:pPr>
        <w:autoSpaceDE w:val="0"/>
        <w:autoSpaceDN w:val="0"/>
        <w:adjustRightInd w:val="0"/>
      </w:pPr>
    </w:p>
    <w:p w:rsidR="00DB5DB6" w:rsidRDefault="005425CB" w:rsidP="005425CB">
      <w:pPr>
        <w:rPr>
          <w:i/>
          <w:iCs/>
          <w:color w:val="FF0000"/>
        </w:rPr>
      </w:pPr>
      <w:r>
        <w:rPr>
          <w:i/>
          <w:iCs/>
          <w:color w:val="FF0000"/>
        </w:rPr>
        <w:t>(</w:t>
      </w:r>
      <w:r>
        <w:rPr>
          <w:i/>
          <w:iCs/>
          <w:color w:val="FF0000"/>
          <w:u w:val="single"/>
        </w:rPr>
        <w:t>Note</w:t>
      </w:r>
      <w:r>
        <w:rPr>
          <w:i/>
          <w:iCs/>
          <w:color w:val="FF0000"/>
        </w:rPr>
        <w:t xml:space="preserve">: Refer to </w:t>
      </w:r>
      <w:hyperlink r:id="rId9" w:history="1">
        <w:r>
          <w:rPr>
            <w:rStyle w:val="Hyperlink"/>
            <w:i/>
            <w:iCs/>
            <w:color w:val="FF0000"/>
          </w:rPr>
          <w:t>FYI - 71</w:t>
        </w:r>
      </w:hyperlink>
      <w:r>
        <w:rPr>
          <w:i/>
          <w:iCs/>
          <w:color w:val="FF0000"/>
        </w:rPr>
        <w:t xml:space="preserve"> for guidance on how to process a School Notice project.)</w:t>
      </w:r>
    </w:p>
    <w:p w:rsidR="005425CB" w:rsidRDefault="005425CB" w:rsidP="005425CB"/>
    <w:p w:rsidR="00DB5DB6" w:rsidRDefault="00DB5DB6">
      <w:pPr>
        <w:keepNext/>
        <w:adjustRightInd w:val="0"/>
        <w:spacing w:before="100" w:after="100"/>
        <w:rPr>
          <w:rFonts w:cs="Arial"/>
          <w:b/>
          <w:bCs/>
          <w:color w:val="000000"/>
          <w:spacing w:val="-3"/>
        </w:rPr>
      </w:pPr>
      <w:bookmarkStart w:id="2" w:name="OLE_LINK1"/>
      <w:bookmarkStart w:id="3" w:name="OLE_LINK2"/>
      <w:bookmarkStart w:id="4" w:name="OLE_LINK3"/>
      <w:r>
        <w:rPr>
          <w:rFonts w:cs="Arial"/>
          <w:b/>
          <w:bCs/>
          <w:color w:val="000000"/>
          <w:spacing w:val="-3"/>
        </w:rPr>
        <w:lastRenderedPageBreak/>
        <w:t>California Environmental Quality Act (CEQA)</w:t>
      </w:r>
    </w:p>
    <w:p w:rsidR="00DB5DB6" w:rsidRDefault="00DB5DB6">
      <w:pPr>
        <w:keepNext/>
      </w:pPr>
    </w:p>
    <w:bookmarkEnd w:id="2"/>
    <w:bookmarkEnd w:id="3"/>
    <w:bookmarkEnd w:id="4"/>
    <w:p w:rsidR="00DB5DB6" w:rsidRDefault="00DB5DB6">
      <w:pPr>
        <w:keepNext/>
        <w:jc w:val="both"/>
        <w:rPr>
          <w:rFonts w:cs="Arial"/>
          <w:color w:val="000000"/>
          <w:szCs w:val="24"/>
        </w:rPr>
      </w:pPr>
      <w:r>
        <w:rPr>
          <w:rFonts w:cs="Arial"/>
          <w:color w:val="000000"/>
          <w:szCs w:val="24"/>
        </w:rPr>
        <w:t xml:space="preserve">The California Environmental Quality Act (CEQA) requires each public agency to adopt objectives, criteria, and specific procedures consistent with CEQA Statutes and the CEQA Guidelines for administering its responsibilities under CEQA, including the orderly evaluation of projects and preparation of environmental documents.  The San Joaquin Valley Unified Air Pollution Control District (District) adopted its </w:t>
      </w:r>
      <w:r>
        <w:rPr>
          <w:rFonts w:cs="Arial"/>
          <w:i/>
          <w:iCs/>
          <w:color w:val="000000"/>
          <w:szCs w:val="24"/>
        </w:rPr>
        <w:t>Environmental Review Guidelines</w:t>
      </w:r>
      <w:r>
        <w:rPr>
          <w:rFonts w:cs="Arial"/>
          <w:color w:val="000000"/>
          <w:szCs w:val="24"/>
        </w:rPr>
        <w:t xml:space="preserve"> (ERG) in 2001.  </w:t>
      </w:r>
    </w:p>
    <w:p w:rsidR="00DB5DB6" w:rsidRDefault="00DB5DB6">
      <w:pPr>
        <w:jc w:val="both"/>
        <w:rPr>
          <w:rFonts w:cs="Arial"/>
          <w:color w:val="000000"/>
          <w:szCs w:val="24"/>
        </w:rPr>
      </w:pPr>
    </w:p>
    <w:p w:rsidR="00DB5DB6" w:rsidRDefault="00DB5DB6">
      <w:pPr>
        <w:jc w:val="both"/>
        <w:rPr>
          <w:rFonts w:cs="Arial"/>
          <w:color w:val="000000"/>
          <w:szCs w:val="24"/>
        </w:rPr>
      </w:pPr>
      <w:r>
        <w:rPr>
          <w:rFonts w:cs="Arial"/>
          <w:color w:val="000000"/>
          <w:szCs w:val="24"/>
        </w:rPr>
        <w:t>The basic purposes of CEQA are to:</w:t>
      </w:r>
    </w:p>
    <w:p w:rsidR="00DB5DB6" w:rsidRDefault="00DB5DB6">
      <w:pPr>
        <w:jc w:val="both"/>
        <w:rPr>
          <w:rFonts w:cs="Arial"/>
          <w:color w:val="000000"/>
          <w:szCs w:val="24"/>
        </w:rPr>
      </w:pPr>
    </w:p>
    <w:p w:rsidR="00DB5DB6" w:rsidRDefault="00DB5DB6">
      <w:pPr>
        <w:widowControl w:val="0"/>
        <w:numPr>
          <w:ilvl w:val="0"/>
          <w:numId w:val="14"/>
        </w:numPr>
        <w:jc w:val="both"/>
        <w:rPr>
          <w:rFonts w:cs="Arial"/>
          <w:color w:val="000000"/>
          <w:szCs w:val="24"/>
        </w:rPr>
      </w:pPr>
      <w:r>
        <w:rPr>
          <w:rFonts w:cs="Arial"/>
          <w:color w:val="000000"/>
          <w:szCs w:val="24"/>
        </w:rPr>
        <w:t>Inform governmental decision-makers and the public about the potential, significant environmental effects of proposed activities.</w:t>
      </w:r>
    </w:p>
    <w:p w:rsidR="00DB5DB6" w:rsidRDefault="00DB5DB6">
      <w:pPr>
        <w:widowControl w:val="0"/>
        <w:numPr>
          <w:ilvl w:val="0"/>
          <w:numId w:val="14"/>
        </w:numPr>
        <w:jc w:val="both"/>
        <w:rPr>
          <w:rFonts w:cs="Arial"/>
          <w:color w:val="000000"/>
          <w:szCs w:val="24"/>
        </w:rPr>
      </w:pPr>
      <w:r>
        <w:rPr>
          <w:rFonts w:cs="Arial"/>
          <w:color w:val="000000"/>
          <w:szCs w:val="24"/>
        </w:rPr>
        <w:t>Identify the ways that environmental damage can be avoided or significantly reduced.</w:t>
      </w:r>
    </w:p>
    <w:p w:rsidR="00DB5DB6" w:rsidRDefault="00DB5DB6">
      <w:pPr>
        <w:widowControl w:val="0"/>
        <w:numPr>
          <w:ilvl w:val="0"/>
          <w:numId w:val="14"/>
        </w:numPr>
        <w:jc w:val="both"/>
        <w:rPr>
          <w:rFonts w:cs="Arial"/>
          <w:color w:val="000000"/>
          <w:szCs w:val="24"/>
        </w:rPr>
      </w:pPr>
      <w:r>
        <w:rPr>
          <w:rFonts w:cs="Arial"/>
          <w:color w:val="000000"/>
          <w:szCs w:val="24"/>
        </w:rPr>
        <w:t>Prevent significant, avoidable damage to the environment by requiring changes in projects through the use of alternatives or mitigation measures when the governmental agency finds the changes to be feasible.</w:t>
      </w:r>
    </w:p>
    <w:p w:rsidR="00DB5DB6" w:rsidRDefault="00DB5DB6">
      <w:pPr>
        <w:widowControl w:val="0"/>
        <w:numPr>
          <w:ilvl w:val="0"/>
          <w:numId w:val="14"/>
        </w:numPr>
        <w:jc w:val="both"/>
        <w:rPr>
          <w:rFonts w:cs="Arial"/>
          <w:color w:val="000000"/>
          <w:szCs w:val="24"/>
        </w:rPr>
      </w:pPr>
      <w:r>
        <w:rPr>
          <w:rFonts w:cs="Arial"/>
          <w:color w:val="000000"/>
          <w:szCs w:val="24"/>
        </w:rPr>
        <w:t>Disclose to the public the reasons why a governmental agency approved the project in the manner the agency chose if significant environmental effects are involved.</w:t>
      </w:r>
    </w:p>
    <w:p w:rsidR="00DB5DB6" w:rsidRDefault="00DB5DB6">
      <w:pPr>
        <w:jc w:val="both"/>
        <w:rPr>
          <w:rFonts w:cs="Arial"/>
          <w:szCs w:val="24"/>
        </w:rPr>
      </w:pPr>
    </w:p>
    <w:p w:rsidR="00DB5DB6" w:rsidRDefault="00DB5DB6">
      <w:pPr>
        <w:jc w:val="both"/>
        <w:rPr>
          <w:rFonts w:cs="Arial"/>
          <w:szCs w:val="24"/>
        </w:rPr>
      </w:pPr>
      <w:r>
        <w:rPr>
          <w:rFonts w:cs="Arial"/>
          <w:szCs w:val="24"/>
        </w:rPr>
        <w:t>Consistent with California Environmental Quality Act (CEQA) and CEQA Guidelines requirements, the San Joaquin Valley Air Pollution Control District (District) has adopted procedures and guidelines for implementing CEQA.  The District’s Environmental Review Guidelines (ERG) establishes procedures for avoiding unnecessary delay during the District’s permitting process while ensuring that significant environmental impacts are thoroughly and consistently addressed.  The ERG includes policies and procedures to be followed when processing permits for projects that are exempt under CEQA.</w:t>
      </w:r>
    </w:p>
    <w:p w:rsidR="00DB5DB6" w:rsidRDefault="00DB5DB6">
      <w:pPr>
        <w:jc w:val="both"/>
        <w:rPr>
          <w:rFonts w:cs="Arial"/>
          <w:szCs w:val="24"/>
        </w:rPr>
      </w:pPr>
    </w:p>
    <w:p w:rsidR="00DB5DB6" w:rsidRDefault="00DB5DB6">
      <w:pPr>
        <w:jc w:val="both"/>
        <w:rPr>
          <w:rFonts w:cs="Arial"/>
          <w:szCs w:val="24"/>
        </w:rPr>
      </w:pPr>
      <w:r>
        <w:rPr>
          <w:rFonts w:cs="Arial"/>
          <w:szCs w:val="24"/>
        </w:rPr>
        <w:t xml:space="preserve">The State Legislature granted a number of exemptions from CEQA, including projects that require only ministerial approval.  Based upon analysis of its own laws and consideration of CEQA provisions, the District has identified a limited number of District permitting activities considered to be ministerial approvals.  As set forth in §4.2.1 of the ERG, projects permitted consistent with the District’s </w:t>
      </w:r>
      <w:r>
        <w:rPr>
          <w:rFonts w:cs="Arial"/>
          <w:i/>
          <w:szCs w:val="24"/>
        </w:rPr>
        <w:t>Guidelines for Expedited Application Review</w:t>
      </w:r>
      <w:r>
        <w:rPr>
          <w:rFonts w:cs="Arial"/>
          <w:szCs w:val="24"/>
        </w:rPr>
        <w:t xml:space="preserve"> (GEAR) are standard application reviews in which little or no discretion is used in issuing Authority to Construct (ATC) documents.</w:t>
      </w:r>
    </w:p>
    <w:p w:rsidR="00DB5DB6" w:rsidRDefault="00DB5DB6">
      <w:pPr>
        <w:jc w:val="both"/>
        <w:rPr>
          <w:rFonts w:cs="Arial"/>
          <w:szCs w:val="24"/>
        </w:rPr>
      </w:pPr>
    </w:p>
    <w:p w:rsidR="00DB5DB6" w:rsidRDefault="00DB5DB6">
      <w:pPr>
        <w:jc w:val="both"/>
        <w:rPr>
          <w:rFonts w:cs="Arial"/>
          <w:szCs w:val="24"/>
        </w:rPr>
      </w:pPr>
      <w:r>
        <w:rPr>
          <w:rFonts w:cs="Arial"/>
          <w:szCs w:val="24"/>
        </w:rPr>
        <w:t xml:space="preserve">For the proposed project, the District performed an Engineering Evaluation (this document) and determined that the project qualifies for processing under the procedures set forth in the District’s Permit Services Procedures Manual in the Guidelines for Expedited Application Review (GEAR).  Thus, as discussed above, this issuance of such ATC(s) is a ministerial approval for the District and is not subject to CEQA provisions. </w:t>
      </w:r>
    </w:p>
    <w:p w:rsidR="00DB5DB6" w:rsidRDefault="00DB5DB6">
      <w:pPr>
        <w:jc w:val="both"/>
        <w:rPr>
          <w:rFonts w:cs="Arial"/>
          <w:szCs w:val="24"/>
        </w:rPr>
      </w:pPr>
    </w:p>
    <w:p w:rsidR="00DB5DB6" w:rsidRDefault="00DB5DB6">
      <w:pPr>
        <w:pStyle w:val="Heading1"/>
      </w:pPr>
      <w:r>
        <w:lastRenderedPageBreak/>
        <w:t>Recommendations</w:t>
      </w:r>
    </w:p>
    <w:p w:rsidR="00DB5DB6" w:rsidRDefault="00DB5DB6">
      <w:pPr>
        <w:keepNext/>
      </w:pPr>
    </w:p>
    <w:p w:rsidR="00DB5DB6" w:rsidRDefault="00DB5DB6">
      <w:pPr>
        <w:keepNext/>
        <w:tabs>
          <w:tab w:val="left" w:pos="-720"/>
          <w:tab w:val="left" w:pos="0"/>
        </w:tabs>
        <w:suppressAutoHyphens/>
      </w:pPr>
      <w:r>
        <w:t xml:space="preserve">Issue Authority to Construct </w:t>
      </w:r>
      <w:r>
        <w:rPr>
          <w:color w:val="0000FF"/>
        </w:rPr>
        <w:t>C-xxxx-x-x</w:t>
      </w:r>
      <w:r>
        <w:t xml:space="preserve"> subject to the permit conditions on the attached draft Authority to Construct.</w:t>
      </w:r>
    </w:p>
    <w:p w:rsidR="00DB5DB6" w:rsidRDefault="00DB5DB6">
      <w:pPr>
        <w:tabs>
          <w:tab w:val="left" w:pos="-720"/>
        </w:tabs>
        <w:suppressAutoHyphens/>
      </w:pPr>
    </w:p>
    <w:p w:rsidR="00DB5DB6" w:rsidRDefault="00DB5DB6">
      <w:pPr>
        <w:pStyle w:val="Heading1"/>
      </w:pPr>
      <w:r>
        <w:t>Billing Information</w:t>
      </w:r>
    </w:p>
    <w:p w:rsidR="00DB5DB6" w:rsidRDefault="00DB5DB6">
      <w:pPr>
        <w:tabs>
          <w:tab w:val="left" w:pos="1530"/>
        </w:tabs>
        <w:autoSpaceDE w:val="0"/>
        <w:autoSpaceDN w:val="0"/>
        <w:adjustRightInd w:val="0"/>
        <w:rPr>
          <w:color w:val="0000FF"/>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0"/>
        <w:gridCol w:w="1890"/>
        <w:gridCol w:w="1980"/>
        <w:gridCol w:w="1530"/>
      </w:tblGrid>
      <w:tr w:rsidR="00DB5DB6" w:rsidTr="00D917EC">
        <w:tc>
          <w:tcPr>
            <w:tcW w:w="7560" w:type="dxa"/>
            <w:gridSpan w:val="4"/>
            <w:tcBorders>
              <w:top w:val="double" w:sz="4" w:space="0" w:color="auto"/>
              <w:left w:val="double" w:sz="4" w:space="0" w:color="auto"/>
              <w:bottom w:val="nil"/>
              <w:right w:val="double" w:sz="4" w:space="0" w:color="auto"/>
            </w:tcBorders>
            <w:shd w:val="clear" w:color="auto" w:fill="auto"/>
          </w:tcPr>
          <w:p w:rsidR="00DB5DB6" w:rsidRDefault="00DB5DB6">
            <w:pPr>
              <w:jc w:val="center"/>
              <w:rPr>
                <w:b/>
                <w:bCs/>
              </w:rPr>
            </w:pPr>
            <w:r>
              <w:rPr>
                <w:b/>
                <w:bCs/>
              </w:rPr>
              <w:t>Annual Permit Fees</w:t>
            </w:r>
          </w:p>
        </w:tc>
      </w:tr>
      <w:tr w:rsidR="00DB5DB6" w:rsidTr="00D917EC">
        <w:tc>
          <w:tcPr>
            <w:tcW w:w="2160" w:type="dxa"/>
            <w:tcBorders>
              <w:top w:val="double" w:sz="4" w:space="0" w:color="auto"/>
              <w:left w:val="double" w:sz="4" w:space="0" w:color="auto"/>
              <w:bottom w:val="single" w:sz="12" w:space="0" w:color="auto"/>
              <w:right w:val="single" w:sz="4" w:space="0" w:color="auto"/>
            </w:tcBorders>
            <w:shd w:val="clear" w:color="auto" w:fill="auto"/>
          </w:tcPr>
          <w:p w:rsidR="00DB5DB6" w:rsidRDefault="00DB5DB6">
            <w:r>
              <w:t>Permit Number</w:t>
            </w:r>
          </w:p>
        </w:tc>
        <w:tc>
          <w:tcPr>
            <w:tcW w:w="1890" w:type="dxa"/>
            <w:tcBorders>
              <w:top w:val="double" w:sz="4" w:space="0" w:color="auto"/>
              <w:left w:val="nil"/>
              <w:bottom w:val="single" w:sz="12" w:space="0" w:color="auto"/>
              <w:right w:val="single" w:sz="4" w:space="0" w:color="auto"/>
            </w:tcBorders>
            <w:shd w:val="clear" w:color="auto" w:fill="auto"/>
          </w:tcPr>
          <w:p w:rsidR="00DB5DB6" w:rsidRDefault="00DB5DB6">
            <w:r>
              <w:t>Fee Schedule</w:t>
            </w:r>
          </w:p>
        </w:tc>
        <w:tc>
          <w:tcPr>
            <w:tcW w:w="1980" w:type="dxa"/>
            <w:tcBorders>
              <w:top w:val="double" w:sz="4" w:space="0" w:color="auto"/>
              <w:left w:val="nil"/>
              <w:bottom w:val="single" w:sz="12" w:space="0" w:color="auto"/>
              <w:right w:val="single" w:sz="4" w:space="0" w:color="auto"/>
            </w:tcBorders>
            <w:shd w:val="clear" w:color="auto" w:fill="auto"/>
          </w:tcPr>
          <w:p w:rsidR="00DB5DB6" w:rsidRDefault="00DB5DB6">
            <w:r>
              <w:t>Fee Description</w:t>
            </w:r>
          </w:p>
        </w:tc>
        <w:tc>
          <w:tcPr>
            <w:tcW w:w="1530" w:type="dxa"/>
            <w:tcBorders>
              <w:top w:val="double" w:sz="4" w:space="0" w:color="auto"/>
              <w:left w:val="nil"/>
              <w:bottom w:val="single" w:sz="12" w:space="0" w:color="auto"/>
              <w:right w:val="double" w:sz="4" w:space="0" w:color="auto"/>
            </w:tcBorders>
            <w:shd w:val="clear" w:color="auto" w:fill="auto"/>
          </w:tcPr>
          <w:p w:rsidR="00DB5DB6" w:rsidRDefault="00DB5DB6">
            <w:r>
              <w:t>Annual Fee</w:t>
            </w:r>
          </w:p>
        </w:tc>
      </w:tr>
      <w:tr w:rsidR="00DB5DB6">
        <w:trPr>
          <w:cantSplit/>
          <w:trHeight w:val="362"/>
        </w:trPr>
        <w:tc>
          <w:tcPr>
            <w:tcW w:w="2160" w:type="dxa"/>
            <w:tcBorders>
              <w:top w:val="single" w:sz="4" w:space="0" w:color="auto"/>
              <w:left w:val="double" w:sz="4" w:space="0" w:color="auto"/>
              <w:bottom w:val="double" w:sz="4" w:space="0" w:color="auto"/>
              <w:right w:val="single" w:sz="4" w:space="0" w:color="auto"/>
            </w:tcBorders>
          </w:tcPr>
          <w:p w:rsidR="00DB5DB6" w:rsidRDefault="00DB5DB6">
            <w:pPr>
              <w:rPr>
                <w:snapToGrid w:val="0"/>
                <w:color w:val="0000FF"/>
              </w:rPr>
            </w:pPr>
            <w:r>
              <w:rPr>
                <w:snapToGrid w:val="0"/>
                <w:color w:val="0000FF"/>
              </w:rPr>
              <w:t>C-XXXX-X-X</w:t>
            </w:r>
          </w:p>
        </w:tc>
        <w:tc>
          <w:tcPr>
            <w:tcW w:w="1890" w:type="dxa"/>
            <w:tcBorders>
              <w:top w:val="single" w:sz="4" w:space="0" w:color="auto"/>
              <w:left w:val="nil"/>
              <w:bottom w:val="double" w:sz="4" w:space="0" w:color="auto"/>
              <w:right w:val="single" w:sz="4" w:space="0" w:color="auto"/>
            </w:tcBorders>
          </w:tcPr>
          <w:p w:rsidR="00DB5DB6" w:rsidRDefault="00DB5DB6">
            <w:pPr>
              <w:rPr>
                <w:color w:val="0000FF"/>
              </w:rPr>
            </w:pPr>
            <w:r>
              <w:rPr>
                <w:color w:val="0000FF"/>
              </w:rPr>
              <w:t>3020-01-[ ]</w:t>
            </w:r>
          </w:p>
        </w:tc>
        <w:tc>
          <w:tcPr>
            <w:tcW w:w="1980" w:type="dxa"/>
            <w:tcBorders>
              <w:top w:val="single" w:sz="4" w:space="0" w:color="auto"/>
              <w:left w:val="nil"/>
              <w:bottom w:val="double" w:sz="4" w:space="0" w:color="auto"/>
              <w:right w:val="single" w:sz="4" w:space="0" w:color="auto"/>
            </w:tcBorders>
          </w:tcPr>
          <w:p w:rsidR="00DB5DB6" w:rsidRDefault="00DB5DB6">
            <w:pPr>
              <w:rPr>
                <w:color w:val="0000FF"/>
              </w:rPr>
            </w:pPr>
            <w:r>
              <w:rPr>
                <w:color w:val="0000FF"/>
              </w:rPr>
              <w:t>[ ] Electric HP</w:t>
            </w:r>
          </w:p>
        </w:tc>
        <w:tc>
          <w:tcPr>
            <w:tcW w:w="1530" w:type="dxa"/>
            <w:tcBorders>
              <w:top w:val="single" w:sz="4" w:space="0" w:color="auto"/>
              <w:left w:val="nil"/>
              <w:bottom w:val="double" w:sz="4" w:space="0" w:color="auto"/>
              <w:right w:val="double" w:sz="4" w:space="0" w:color="auto"/>
            </w:tcBorders>
          </w:tcPr>
          <w:p w:rsidR="00DB5DB6" w:rsidRDefault="00DB5DB6">
            <w:pPr>
              <w:rPr>
                <w:color w:val="0000FF"/>
              </w:rPr>
            </w:pPr>
            <w:r>
              <w:rPr>
                <w:color w:val="0000FF"/>
              </w:rPr>
              <w:t>$882.00</w:t>
            </w:r>
          </w:p>
        </w:tc>
      </w:tr>
    </w:tbl>
    <w:p w:rsidR="00DB5DB6" w:rsidRDefault="00DB5DB6">
      <w:pPr>
        <w:rPr>
          <w:color w:val="000000"/>
        </w:rPr>
      </w:pPr>
    </w:p>
    <w:p w:rsidR="00DB5DB6" w:rsidRDefault="00DB5DB6">
      <w:pPr>
        <w:keepNext/>
        <w:suppressAutoHyphens/>
        <w:jc w:val="both"/>
        <w:rPr>
          <w:spacing w:val="-3"/>
        </w:rPr>
      </w:pPr>
      <w:r>
        <w:rPr>
          <w:b/>
          <w:color w:val="000000"/>
        </w:rPr>
        <w:t>Appendices</w:t>
      </w:r>
    </w:p>
    <w:p w:rsidR="00DB5DB6" w:rsidRDefault="00DB5DB6">
      <w:pPr>
        <w:keepNext/>
      </w:pPr>
    </w:p>
    <w:p w:rsidR="00DB5DB6" w:rsidRDefault="00DB5DB6">
      <w:pPr>
        <w:keepNext/>
      </w:pPr>
      <w:r>
        <w:t>A:</w:t>
      </w:r>
      <w:r>
        <w:tab/>
        <w:t>BACT Guideline 2.1.3 &amp; Top-Down BACT Analysis</w:t>
      </w:r>
    </w:p>
    <w:p w:rsidR="00DB5DB6" w:rsidRDefault="00DB5DB6">
      <w:pPr>
        <w:keepNext/>
      </w:pPr>
      <w:r>
        <w:t>B:</w:t>
      </w:r>
      <w:r>
        <w:tab/>
        <w:t>Quarterly Net Emissions Change (QNEC)</w:t>
      </w:r>
    </w:p>
    <w:p w:rsidR="00DB5DB6" w:rsidRDefault="00DB5DB6">
      <w:r>
        <w:t>C:</w:t>
      </w:r>
      <w:r>
        <w:tab/>
        <w:t>HRA Summary</w:t>
      </w:r>
    </w:p>
    <w:p w:rsidR="00DB5DB6" w:rsidRDefault="00DB5DB6">
      <w:r>
        <w:t xml:space="preserve">D: </w:t>
      </w:r>
      <w:r>
        <w:tab/>
        <w:t xml:space="preserve">Draft Authority </w:t>
      </w:r>
      <w:r w:rsidR="003E4484">
        <w:t>t</w:t>
      </w:r>
      <w:r>
        <w:t>o Construct</w:t>
      </w:r>
    </w:p>
    <w:p w:rsidR="00DB5DB6" w:rsidRDefault="00DB5DB6">
      <w:pPr>
        <w:pStyle w:val="CommentText"/>
        <w:rPr>
          <w:sz w:val="24"/>
        </w:rPr>
      </w:pPr>
      <w:r>
        <w:rPr>
          <w:sz w:val="24"/>
        </w:rPr>
        <w:t xml:space="preserve">E: </w:t>
      </w:r>
      <w:r>
        <w:rPr>
          <w:sz w:val="24"/>
        </w:rPr>
        <w:tab/>
        <w:t>Emissions Profile</w:t>
      </w:r>
    </w:p>
    <w:p w:rsidR="00DB5DB6" w:rsidRDefault="00DB5DB6">
      <w:pPr>
        <w:jc w:val="center"/>
        <w:sectPr w:rsidR="00DB5DB6" w:rsidSect="00DB3914">
          <w:headerReference w:type="default" r:id="rId10"/>
          <w:footerReference w:type="even" r:id="rId11"/>
          <w:footerReference w:type="default" r:id="rId12"/>
          <w:footerReference w:type="first" r:id="rId13"/>
          <w:type w:val="continuous"/>
          <w:pgSz w:w="12240" w:h="15840" w:code="1"/>
          <w:pgMar w:top="994" w:right="1080" w:bottom="1440" w:left="1080" w:header="720" w:footer="806" w:gutter="0"/>
          <w:paperSrc w:first="7" w:other="7"/>
          <w:cols w:space="720"/>
          <w:titlePg/>
        </w:sectPr>
      </w:pPr>
    </w:p>
    <w:p w:rsidR="00DB5DB6" w:rsidRPr="00D266D5" w:rsidRDefault="00DB5DB6">
      <w:pPr>
        <w:jc w:val="center"/>
        <w:rPr>
          <w:b/>
          <w:sz w:val="44"/>
          <w:szCs w:val="44"/>
        </w:rPr>
      </w:pPr>
      <w:r w:rsidRPr="00D266D5">
        <w:rPr>
          <w:b/>
          <w:sz w:val="44"/>
          <w:szCs w:val="44"/>
        </w:rPr>
        <w:lastRenderedPageBreak/>
        <w:t>APPENDIX A</w:t>
      </w:r>
    </w:p>
    <w:p w:rsidR="00DB5DB6" w:rsidRDefault="00DB5DB6">
      <w:pPr>
        <w:jc w:val="center"/>
        <w:rPr>
          <w:sz w:val="40"/>
        </w:rPr>
      </w:pPr>
    </w:p>
    <w:p w:rsidR="00FF1344" w:rsidRDefault="0040122A">
      <w:pPr>
        <w:jc w:val="center"/>
        <w:rPr>
          <w:b/>
          <w:bCs/>
          <w:sz w:val="32"/>
          <w:szCs w:val="32"/>
        </w:rPr>
        <w:sectPr w:rsidR="00FF1344" w:rsidSect="00D266D5">
          <w:footerReference w:type="default" r:id="rId14"/>
          <w:pgSz w:w="12240" w:h="15840" w:code="1"/>
          <w:pgMar w:top="1440" w:right="1440" w:bottom="1440" w:left="1440" w:header="720" w:footer="806" w:gutter="0"/>
          <w:paperSrc w:first="262" w:other="262"/>
          <w:cols w:space="720"/>
          <w:vAlign w:val="center"/>
        </w:sectPr>
      </w:pPr>
      <w:r w:rsidRPr="00D266D5">
        <w:rPr>
          <w:b/>
          <w:bCs/>
          <w:sz w:val="32"/>
          <w:szCs w:val="32"/>
        </w:rPr>
        <w:t>BACT Guideline 2.1.3 &amp; Top-Down BACT Analysis</w:t>
      </w:r>
    </w:p>
    <w:p w:rsidR="00DB5DB6" w:rsidRDefault="008B1712">
      <w:pPr>
        <w:suppressAutoHyphens/>
        <w:ind w:left="1260" w:hanging="450"/>
        <w:jc w:val="center"/>
        <w:rPr>
          <w:b/>
          <w:bCs/>
          <w:spacing w:val="-3"/>
          <w:u w:val="single"/>
        </w:rPr>
      </w:pPr>
      <w:r>
        <w:rPr>
          <w:noProof/>
          <w:sz w:val="40"/>
        </w:rPr>
        <w:lastRenderedPageBreak/>
        <w:drawing>
          <wp:inline distT="0" distB="0" distL="0" distR="0" wp14:anchorId="18299629" wp14:editId="0E725AA5">
            <wp:extent cx="5932805" cy="69430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2805" cy="6943090"/>
                    </a:xfrm>
                    <a:prstGeom prst="rect">
                      <a:avLst/>
                    </a:prstGeom>
                    <a:noFill/>
                    <a:ln>
                      <a:noFill/>
                    </a:ln>
                  </pic:spPr>
                </pic:pic>
              </a:graphicData>
            </a:graphic>
          </wp:inline>
        </w:drawing>
      </w:r>
    </w:p>
    <w:p w:rsidR="00DB5DB6" w:rsidRDefault="00DB5DB6">
      <w:pPr>
        <w:suppressAutoHyphens/>
        <w:ind w:left="1260" w:hanging="450"/>
        <w:jc w:val="center"/>
        <w:rPr>
          <w:b/>
          <w:bCs/>
          <w:spacing w:val="-3"/>
          <w:u w:val="single"/>
        </w:rPr>
      </w:pPr>
    </w:p>
    <w:p w:rsidR="003E4484" w:rsidRDefault="003E4484">
      <w:pPr>
        <w:rPr>
          <w:b/>
          <w:bCs/>
          <w:spacing w:val="-3"/>
          <w:u w:val="single"/>
        </w:rPr>
      </w:pPr>
      <w:r>
        <w:rPr>
          <w:b/>
          <w:bCs/>
          <w:spacing w:val="-3"/>
          <w:u w:val="single"/>
        </w:rPr>
        <w:br w:type="page"/>
      </w:r>
    </w:p>
    <w:p w:rsidR="00DB5DB6" w:rsidRDefault="00DB5DB6">
      <w:pPr>
        <w:suppressAutoHyphens/>
        <w:ind w:left="1260" w:hanging="450"/>
        <w:jc w:val="center"/>
        <w:rPr>
          <w:b/>
          <w:bCs/>
          <w:spacing w:val="-3"/>
        </w:rPr>
      </w:pPr>
      <w:r>
        <w:rPr>
          <w:b/>
          <w:bCs/>
          <w:spacing w:val="-3"/>
          <w:u w:val="single"/>
        </w:rPr>
        <w:lastRenderedPageBreak/>
        <w:t>Top-Down BACT Analysis</w:t>
      </w:r>
    </w:p>
    <w:p w:rsidR="00DB5DB6" w:rsidRDefault="00DB5DB6">
      <w:pPr>
        <w:suppressAutoHyphens/>
        <w:ind w:left="810"/>
        <w:jc w:val="both"/>
        <w:rPr>
          <w:bCs/>
          <w:spacing w:val="-3"/>
        </w:rPr>
      </w:pPr>
    </w:p>
    <w:p w:rsidR="00DB5DB6" w:rsidRDefault="00DB5DB6">
      <w:pPr>
        <w:ind w:left="810"/>
        <w:rPr>
          <w:snapToGrid w:val="0"/>
        </w:rPr>
      </w:pPr>
      <w:r>
        <w:rPr>
          <w:snapToGrid w:val="0"/>
        </w:rPr>
        <w:t>a. Step 1 - Identify All Possible VOC</w:t>
      </w:r>
      <w:r>
        <w:rPr>
          <w:snapToGrid w:val="0"/>
          <w:sz w:val="16"/>
        </w:rPr>
        <w:t xml:space="preserve"> </w:t>
      </w:r>
      <w:r>
        <w:rPr>
          <w:snapToGrid w:val="0"/>
        </w:rPr>
        <w:t>Control Technologies</w:t>
      </w:r>
    </w:p>
    <w:p w:rsidR="00DB5DB6" w:rsidRDefault="00DB5DB6">
      <w:pPr>
        <w:ind w:left="1350"/>
        <w:rPr>
          <w:i/>
          <w:snapToGrid w:val="0"/>
          <w:sz w:val="16"/>
        </w:rPr>
      </w:pPr>
    </w:p>
    <w:p w:rsidR="00DB5DB6" w:rsidRDefault="00DB5DB6">
      <w:pPr>
        <w:ind w:left="1350"/>
        <w:rPr>
          <w:snapToGrid w:val="0"/>
        </w:rPr>
      </w:pPr>
      <w:r>
        <w:rPr>
          <w:snapToGrid w:val="0"/>
        </w:rPr>
        <w:t xml:space="preserve">The SJVUAPCD BACT Clearinghouse </w:t>
      </w:r>
      <w:r>
        <w:rPr>
          <w:spacing w:val="-3"/>
        </w:rPr>
        <w:t xml:space="preserve">Guideline </w:t>
      </w:r>
      <w:r>
        <w:rPr>
          <w:color w:val="0000FF"/>
          <w:spacing w:val="-3"/>
        </w:rPr>
        <w:t>2.1.3</w:t>
      </w:r>
      <w:r>
        <w:rPr>
          <w:spacing w:val="-3"/>
        </w:rPr>
        <w:t xml:space="preserve"> </w:t>
      </w:r>
      <w:r>
        <w:rPr>
          <w:snapToGrid w:val="0"/>
        </w:rPr>
        <w:t>identifies for this soil remediation operation:</w:t>
      </w:r>
    </w:p>
    <w:p w:rsidR="00DB5DB6" w:rsidRDefault="00DB5DB6">
      <w:pPr>
        <w:ind w:left="1350"/>
        <w:rPr>
          <w:snapToGrid w:val="0"/>
          <w:sz w:val="16"/>
        </w:rPr>
      </w:pPr>
    </w:p>
    <w:p w:rsidR="00DB5DB6" w:rsidRDefault="00DB5DB6">
      <w:pPr>
        <w:tabs>
          <w:tab w:val="left" w:pos="1440"/>
        </w:tabs>
        <w:ind w:left="1440" w:hanging="90"/>
        <w:rPr>
          <w:snapToGrid w:val="0"/>
        </w:rPr>
      </w:pPr>
      <w:r>
        <w:rPr>
          <w:snapToGrid w:val="0"/>
        </w:rPr>
        <w:t>- 95% control efficiency for uncontrolled emissions above 2 lb/day</w:t>
      </w:r>
    </w:p>
    <w:p w:rsidR="00DB5DB6" w:rsidRDefault="00DB5DB6">
      <w:pPr>
        <w:ind w:left="1350"/>
        <w:rPr>
          <w:snapToGrid w:val="0"/>
          <w:sz w:val="16"/>
        </w:rPr>
      </w:pPr>
    </w:p>
    <w:p w:rsidR="00DB5DB6" w:rsidRDefault="00DB5DB6">
      <w:pPr>
        <w:ind w:left="810"/>
        <w:rPr>
          <w:snapToGrid w:val="0"/>
        </w:rPr>
      </w:pPr>
      <w:r>
        <w:rPr>
          <w:snapToGrid w:val="0"/>
        </w:rPr>
        <w:t>b. Step 2 - Eliminate Technologically Infeasible Options</w:t>
      </w:r>
    </w:p>
    <w:p w:rsidR="00DB5DB6" w:rsidRDefault="00DB5DB6">
      <w:pPr>
        <w:ind w:left="1350"/>
        <w:rPr>
          <w:snapToGrid w:val="0"/>
          <w:sz w:val="16"/>
        </w:rPr>
      </w:pPr>
    </w:p>
    <w:p w:rsidR="00DB5DB6" w:rsidRDefault="00DB5DB6">
      <w:pPr>
        <w:ind w:left="1350"/>
        <w:rPr>
          <w:snapToGrid w:val="0"/>
        </w:rPr>
      </w:pPr>
      <w:r>
        <w:rPr>
          <w:snapToGrid w:val="0"/>
        </w:rPr>
        <w:t>There are no technologically infeasible options listed.</w:t>
      </w:r>
    </w:p>
    <w:p w:rsidR="00DB5DB6" w:rsidRDefault="00DB5DB6">
      <w:pPr>
        <w:ind w:left="1350"/>
        <w:rPr>
          <w:snapToGrid w:val="0"/>
        </w:rPr>
      </w:pPr>
    </w:p>
    <w:p w:rsidR="00DB5DB6" w:rsidRDefault="00DB5DB6">
      <w:pPr>
        <w:ind w:left="810"/>
        <w:rPr>
          <w:snapToGrid w:val="0"/>
        </w:rPr>
      </w:pPr>
      <w:r>
        <w:rPr>
          <w:snapToGrid w:val="0"/>
        </w:rPr>
        <w:t>c. Step 3 - Rank Remaining Control Technologies by Control Effectiveness</w:t>
      </w:r>
    </w:p>
    <w:p w:rsidR="00DB5DB6" w:rsidRDefault="00DB5DB6">
      <w:pPr>
        <w:ind w:left="1350"/>
        <w:rPr>
          <w:snapToGrid w:val="0"/>
          <w:sz w:val="16"/>
        </w:rPr>
      </w:pPr>
    </w:p>
    <w:p w:rsidR="00DB5DB6" w:rsidRDefault="00DB5DB6">
      <w:pPr>
        <w:numPr>
          <w:ilvl w:val="0"/>
          <w:numId w:val="1"/>
        </w:numPr>
        <w:tabs>
          <w:tab w:val="left" w:pos="1440"/>
        </w:tabs>
        <w:rPr>
          <w:snapToGrid w:val="0"/>
        </w:rPr>
      </w:pPr>
      <w:r>
        <w:rPr>
          <w:snapToGrid w:val="0"/>
        </w:rPr>
        <w:t>95% control efficiency for uncontrolled emissions above 2 lb/day</w:t>
      </w:r>
    </w:p>
    <w:p w:rsidR="00DB5DB6" w:rsidRDefault="00DB5DB6">
      <w:pPr>
        <w:tabs>
          <w:tab w:val="left" w:pos="1440"/>
        </w:tabs>
        <w:ind w:left="1350"/>
        <w:rPr>
          <w:snapToGrid w:val="0"/>
        </w:rPr>
      </w:pPr>
    </w:p>
    <w:p w:rsidR="00DB5DB6" w:rsidRDefault="00DB5DB6">
      <w:pPr>
        <w:ind w:left="810"/>
        <w:rPr>
          <w:snapToGrid w:val="0"/>
        </w:rPr>
      </w:pPr>
      <w:r>
        <w:rPr>
          <w:snapToGrid w:val="0"/>
        </w:rPr>
        <w:t>d. Step 4 - Cost Effectiveness Analysis</w:t>
      </w:r>
    </w:p>
    <w:p w:rsidR="00DB5DB6" w:rsidRDefault="00DB5DB6">
      <w:pPr>
        <w:ind w:left="1350"/>
        <w:rPr>
          <w:snapToGrid w:val="0"/>
          <w:sz w:val="16"/>
        </w:rPr>
      </w:pPr>
    </w:p>
    <w:p w:rsidR="00DB5DB6" w:rsidRDefault="00DB5DB6">
      <w:pPr>
        <w:ind w:left="1350"/>
        <w:rPr>
          <w:snapToGrid w:val="0"/>
        </w:rPr>
      </w:pPr>
      <w:r>
        <w:rPr>
          <w:snapToGrid w:val="0"/>
        </w:rPr>
        <w:t>The applicant is already proposing the most effective control technology listed above.  Therefore, per SJVUAPCD BACT policy, the cost effectiveness analysis is not required.</w:t>
      </w:r>
    </w:p>
    <w:p w:rsidR="00DB5DB6" w:rsidRDefault="00DB5DB6">
      <w:pPr>
        <w:ind w:left="1350"/>
        <w:rPr>
          <w:snapToGrid w:val="0"/>
        </w:rPr>
      </w:pPr>
    </w:p>
    <w:p w:rsidR="00DB5DB6" w:rsidRDefault="00DB5DB6">
      <w:pPr>
        <w:ind w:left="810"/>
        <w:rPr>
          <w:snapToGrid w:val="0"/>
        </w:rPr>
      </w:pPr>
      <w:r>
        <w:rPr>
          <w:snapToGrid w:val="0"/>
        </w:rPr>
        <w:t>e. Step 5 - Select BACT</w:t>
      </w:r>
    </w:p>
    <w:p w:rsidR="00DB5DB6" w:rsidRDefault="00DB5DB6">
      <w:pPr>
        <w:ind w:left="1350"/>
        <w:jc w:val="both"/>
        <w:rPr>
          <w:snapToGrid w:val="0"/>
          <w:sz w:val="16"/>
        </w:rPr>
      </w:pPr>
    </w:p>
    <w:p w:rsidR="00DB5DB6" w:rsidRDefault="00DB5DB6">
      <w:pPr>
        <w:ind w:left="1350"/>
        <w:rPr>
          <w:color w:val="0000FF"/>
          <w:spacing w:val="-3"/>
        </w:rPr>
        <w:sectPr w:rsidR="00DB5DB6" w:rsidSect="0058168B">
          <w:headerReference w:type="default" r:id="rId16"/>
          <w:footerReference w:type="even" r:id="rId17"/>
          <w:footerReference w:type="default" r:id="rId18"/>
          <w:pgSz w:w="12240" w:h="15840" w:code="1"/>
          <w:pgMar w:top="1440" w:right="1440" w:bottom="1440" w:left="1440" w:header="720" w:footer="806" w:gutter="0"/>
          <w:paperSrc w:first="7" w:other="7"/>
          <w:cols w:space="720"/>
        </w:sectPr>
      </w:pPr>
      <w:r>
        <w:rPr>
          <w:spacing w:val="-3"/>
        </w:rPr>
        <w:t xml:space="preserve">The applicant is proposing BACT with the use of a </w:t>
      </w:r>
      <w:r>
        <w:rPr>
          <w:color w:val="0000FF"/>
          <w:spacing w:val="-3"/>
        </w:rPr>
        <w:t>carbon adsorption system</w:t>
      </w:r>
      <w:r>
        <w:rPr>
          <w:spacing w:val="-3"/>
        </w:rPr>
        <w:t xml:space="preserve"> </w:t>
      </w:r>
      <w:r>
        <w:rPr>
          <w:color w:val="0000FF"/>
          <w:spacing w:val="-3"/>
        </w:rPr>
        <w:t>with a 95% or greater control efficiency.</w:t>
      </w:r>
    </w:p>
    <w:p w:rsidR="00DB5DB6" w:rsidRPr="00D266D5" w:rsidRDefault="00DB5DB6">
      <w:pPr>
        <w:jc w:val="center"/>
        <w:rPr>
          <w:b/>
          <w:sz w:val="44"/>
          <w:szCs w:val="44"/>
        </w:rPr>
      </w:pPr>
      <w:r w:rsidRPr="00D266D5">
        <w:rPr>
          <w:b/>
          <w:sz w:val="44"/>
          <w:szCs w:val="44"/>
        </w:rPr>
        <w:lastRenderedPageBreak/>
        <w:t>APPENDIX B</w:t>
      </w:r>
    </w:p>
    <w:p w:rsidR="00DB5DB6" w:rsidRDefault="00DB5DB6">
      <w:pPr>
        <w:jc w:val="center"/>
        <w:rPr>
          <w:sz w:val="40"/>
        </w:rPr>
      </w:pPr>
    </w:p>
    <w:p w:rsidR="00DB5DB6" w:rsidRPr="00D266D5" w:rsidRDefault="00DB5DB6">
      <w:pPr>
        <w:jc w:val="center"/>
        <w:rPr>
          <w:b/>
          <w:bCs/>
          <w:color w:val="000000"/>
          <w:sz w:val="32"/>
          <w:szCs w:val="32"/>
        </w:rPr>
      </w:pPr>
      <w:r w:rsidRPr="00D266D5">
        <w:rPr>
          <w:b/>
          <w:bCs/>
          <w:color w:val="000000"/>
          <w:sz w:val="32"/>
          <w:szCs w:val="32"/>
        </w:rPr>
        <w:t>Quarterly Net Emissions Change (QNEC)</w:t>
      </w:r>
    </w:p>
    <w:p w:rsidR="00C632AF" w:rsidRDefault="00C632AF">
      <w:pPr>
        <w:rPr>
          <w:b/>
          <w:bCs/>
          <w:color w:val="000000"/>
          <w:sz w:val="28"/>
        </w:rPr>
        <w:sectPr w:rsidR="00C632AF" w:rsidSect="00B127EE">
          <w:pgSz w:w="12240" w:h="15840" w:code="1"/>
          <w:pgMar w:top="1440" w:right="1440" w:bottom="1440" w:left="1440" w:header="720" w:footer="806" w:gutter="0"/>
          <w:paperSrc w:first="262" w:other="262"/>
          <w:cols w:space="720"/>
          <w:vAlign w:val="center"/>
        </w:sectPr>
      </w:pPr>
    </w:p>
    <w:p w:rsidR="00DB5DB6" w:rsidRDefault="00DB5DB6">
      <w:pPr>
        <w:rPr>
          <w:b/>
          <w:bCs/>
          <w:color w:val="000000"/>
        </w:rPr>
      </w:pPr>
      <w:r>
        <w:rPr>
          <w:b/>
          <w:bCs/>
          <w:color w:val="000000"/>
        </w:rPr>
        <w:lastRenderedPageBreak/>
        <w:t>Quarterly Net Emissions Change (QNEC)</w:t>
      </w:r>
    </w:p>
    <w:p w:rsidR="00DB5DB6" w:rsidRDefault="00DB5DB6">
      <w:pPr>
        <w:autoSpaceDE w:val="0"/>
        <w:autoSpaceDN w:val="0"/>
        <w:adjustRightInd w:val="0"/>
        <w:rPr>
          <w:bCs/>
          <w:color w:val="000000"/>
        </w:rPr>
      </w:pPr>
    </w:p>
    <w:p w:rsidR="00DB5DB6" w:rsidRDefault="00DB5DB6">
      <w:pPr>
        <w:rPr>
          <w:bCs/>
          <w:i/>
          <w:iCs/>
          <w:color w:val="FF0000"/>
        </w:rPr>
      </w:pPr>
      <w:r>
        <w:rPr>
          <w:color w:val="800000"/>
        </w:rPr>
        <w:t>The QNEC is entered into PAS database and subsequently reported to CARB.  For seasonal sources, or where the emissions differ quarter to quarter, then evaluate each pollutant for each quarter separately.  The QNEC is calculated for each pollutant, for each unit, as the difference between the post-project quarterly potential to emit (PE2) and the pre-project quarterly potential to emit (PE1).</w:t>
      </w:r>
    </w:p>
    <w:p w:rsidR="00DB5DB6" w:rsidRDefault="00DB5DB6">
      <w:pPr>
        <w:autoSpaceDE w:val="0"/>
        <w:autoSpaceDN w:val="0"/>
        <w:adjustRightInd w:val="0"/>
        <w:rPr>
          <w:color w:val="000000"/>
        </w:rPr>
      </w:pPr>
    </w:p>
    <w:p w:rsidR="00DB5DB6" w:rsidRDefault="00DB5DB6">
      <w:r>
        <w:t>The Quarterly Net Emissions Change is used to complete the emission profile screen for the District’s PAS database.  The QNEC shall be calculated as follows:</w:t>
      </w:r>
    </w:p>
    <w:p w:rsidR="00DB5DB6" w:rsidRDefault="00DB5DB6"/>
    <w:p w:rsidR="00DB5DB6" w:rsidRDefault="00DB5DB6">
      <w:r>
        <w:t>QNEC = PE2 - PE1, where:</w:t>
      </w:r>
    </w:p>
    <w:p w:rsidR="00DB5DB6" w:rsidRDefault="00DB5DB6">
      <w:pPr>
        <w:rPr>
          <w:snapToGrid w:val="0"/>
          <w:color w:val="000000"/>
        </w:rPr>
      </w:pPr>
    </w:p>
    <w:p w:rsidR="00DB5DB6" w:rsidRDefault="00DB5DB6">
      <w:pPr>
        <w:tabs>
          <w:tab w:val="left" w:pos="1170"/>
          <w:tab w:val="left" w:pos="1440"/>
        </w:tabs>
        <w:ind w:left="432"/>
        <w:rPr>
          <w:snapToGrid w:val="0"/>
          <w:color w:val="000000"/>
          <w:szCs w:val="18"/>
        </w:rPr>
      </w:pPr>
      <w:r>
        <w:rPr>
          <w:snapToGrid w:val="0"/>
          <w:color w:val="000000"/>
          <w:szCs w:val="18"/>
        </w:rPr>
        <w:t>QNEC</w:t>
      </w:r>
      <w:r>
        <w:rPr>
          <w:snapToGrid w:val="0"/>
          <w:color w:val="000000"/>
          <w:szCs w:val="18"/>
        </w:rPr>
        <w:tab/>
        <w:t>=</w:t>
      </w:r>
      <w:r>
        <w:rPr>
          <w:snapToGrid w:val="0"/>
          <w:color w:val="000000"/>
          <w:szCs w:val="18"/>
        </w:rPr>
        <w:tab/>
        <w:t>Quarterly Net Emissions Change for each emissions unit, lb/qtr.</w:t>
      </w:r>
    </w:p>
    <w:p w:rsidR="00DB5DB6" w:rsidRDefault="00DB5DB6">
      <w:pPr>
        <w:tabs>
          <w:tab w:val="left" w:pos="1170"/>
          <w:tab w:val="left" w:pos="1440"/>
        </w:tabs>
        <w:ind w:left="432"/>
        <w:rPr>
          <w:snapToGrid w:val="0"/>
          <w:color w:val="000000"/>
          <w:szCs w:val="18"/>
        </w:rPr>
      </w:pPr>
      <w:r>
        <w:rPr>
          <w:snapToGrid w:val="0"/>
          <w:color w:val="000000"/>
          <w:szCs w:val="18"/>
        </w:rPr>
        <w:t>PE2</w:t>
      </w:r>
      <w:r>
        <w:rPr>
          <w:snapToGrid w:val="0"/>
          <w:color w:val="000000"/>
          <w:szCs w:val="18"/>
        </w:rPr>
        <w:tab/>
        <w:t>=</w:t>
      </w:r>
      <w:r>
        <w:rPr>
          <w:snapToGrid w:val="0"/>
          <w:color w:val="000000"/>
          <w:szCs w:val="18"/>
        </w:rPr>
        <w:tab/>
        <w:t>Post Project Potential to Emit for each emissions unit, lb/qtr.</w:t>
      </w:r>
    </w:p>
    <w:p w:rsidR="00DB5DB6" w:rsidRDefault="00DB5DB6">
      <w:pPr>
        <w:tabs>
          <w:tab w:val="left" w:pos="1170"/>
          <w:tab w:val="left" w:pos="1440"/>
        </w:tabs>
        <w:autoSpaceDE w:val="0"/>
        <w:autoSpaceDN w:val="0"/>
        <w:adjustRightInd w:val="0"/>
        <w:ind w:left="432"/>
        <w:rPr>
          <w:bCs/>
          <w:snapToGrid w:val="0"/>
          <w:color w:val="000000"/>
        </w:rPr>
      </w:pPr>
      <w:r>
        <w:rPr>
          <w:snapToGrid w:val="0"/>
        </w:rPr>
        <w:t>PE1</w:t>
      </w:r>
      <w:r>
        <w:rPr>
          <w:snapToGrid w:val="0"/>
        </w:rPr>
        <w:tab/>
        <w:t>=</w:t>
      </w:r>
      <w:r>
        <w:rPr>
          <w:snapToGrid w:val="0"/>
        </w:rPr>
        <w:tab/>
        <w:t>Pre-Project Potential to Emit for each emissions unit, lb/qtr.</w:t>
      </w:r>
    </w:p>
    <w:p w:rsidR="00DB5DB6" w:rsidRDefault="00DB5DB6">
      <w:pPr>
        <w:tabs>
          <w:tab w:val="left" w:pos="1530"/>
        </w:tabs>
        <w:autoSpaceDE w:val="0"/>
        <w:autoSpaceDN w:val="0"/>
        <w:adjustRightInd w:val="0"/>
        <w:rPr>
          <w:i/>
          <w:iCs/>
          <w:color w:val="0000FF"/>
          <w:u w:val="single"/>
        </w:rPr>
      </w:pPr>
    </w:p>
    <w:p w:rsidR="00DB5DB6" w:rsidRDefault="00DB5DB6">
      <w:pPr>
        <w:suppressAutoHyphens/>
        <w:rPr>
          <w:bCs/>
          <w:spacing w:val="-3"/>
        </w:rPr>
      </w:pPr>
      <w:r>
        <w:rPr>
          <w:bCs/>
          <w:spacing w:val="-3"/>
        </w:rPr>
        <w:t>Using the values in Sections VII.C.2 and VII.C.6 in the evaluation above, quarterly PE2 and quarterly PE1 can be calculated as follows:</w:t>
      </w:r>
    </w:p>
    <w:p w:rsidR="00DB5DB6" w:rsidRDefault="00DB5DB6">
      <w:pPr>
        <w:suppressAutoHyphens/>
        <w:rPr>
          <w:bCs/>
          <w:spacing w:val="-3"/>
        </w:rPr>
      </w:pPr>
    </w:p>
    <w:p w:rsidR="00243DAF" w:rsidRPr="00D266D5" w:rsidRDefault="00243DAF">
      <w:pPr>
        <w:suppressAutoHyphens/>
        <w:rPr>
          <w:bCs/>
          <w:i/>
          <w:spacing w:val="-3"/>
        </w:rPr>
      </w:pPr>
      <w:r w:rsidRPr="00D266D5">
        <w:rPr>
          <w:bCs/>
          <w:i/>
          <w:spacing w:val="-3"/>
        </w:rPr>
        <w:t>EXAMPLE:</w:t>
      </w:r>
    </w:p>
    <w:p w:rsidR="00DB5DB6" w:rsidRDefault="00DB5DB6">
      <w:pPr>
        <w:tabs>
          <w:tab w:val="left" w:pos="1260"/>
          <w:tab w:val="left" w:pos="1530"/>
        </w:tabs>
        <w:autoSpaceDE w:val="0"/>
        <w:autoSpaceDN w:val="0"/>
        <w:adjustRightInd w:val="0"/>
        <w:rPr>
          <w:color w:val="000000"/>
        </w:rPr>
      </w:pPr>
      <w:r>
        <w:rPr>
          <w:color w:val="000000"/>
        </w:rPr>
        <w:t>PE2</w:t>
      </w:r>
      <w:r>
        <w:rPr>
          <w:color w:val="000000"/>
          <w:vertAlign w:val="subscript"/>
        </w:rPr>
        <w:t>quarterly</w:t>
      </w:r>
      <w:r>
        <w:rPr>
          <w:color w:val="000000"/>
        </w:rPr>
        <w:tab/>
        <w:t>=</w:t>
      </w:r>
      <w:r>
        <w:rPr>
          <w:color w:val="000000"/>
        </w:rPr>
        <w:tab/>
        <w:t>PE2</w:t>
      </w:r>
      <w:r>
        <w:rPr>
          <w:color w:val="000000"/>
          <w:vertAlign w:val="subscript"/>
        </w:rPr>
        <w:t>annual</w:t>
      </w:r>
      <w:r>
        <w:rPr>
          <w:color w:val="000000"/>
        </w:rPr>
        <w:t xml:space="preserve"> </w:t>
      </w:r>
      <w:r>
        <w:rPr>
          <w:color w:val="000000"/>
        </w:rPr>
        <w:sym w:font="Symbol" w:char="F0B8"/>
      </w:r>
      <w:r>
        <w:rPr>
          <w:color w:val="000000"/>
        </w:rPr>
        <w:t xml:space="preserve"> 4 </w:t>
      </w:r>
      <w:r>
        <w:t>quarters</w:t>
      </w:r>
      <w:r>
        <w:rPr>
          <w:color w:val="000000"/>
        </w:rPr>
        <w:t>/year</w:t>
      </w:r>
    </w:p>
    <w:p w:rsidR="00DB5DB6" w:rsidRDefault="00DB5DB6">
      <w:pPr>
        <w:tabs>
          <w:tab w:val="left" w:pos="1260"/>
          <w:tab w:val="left" w:pos="1530"/>
        </w:tabs>
      </w:pPr>
      <w:r>
        <w:tab/>
        <w:t>=</w:t>
      </w:r>
      <w:r>
        <w:tab/>
        <w:t xml:space="preserve">4,600 lb/year </w:t>
      </w:r>
      <w:r>
        <w:sym w:font="Symbol" w:char="F0B8"/>
      </w:r>
      <w:r>
        <w:t xml:space="preserve"> 4 qtr/year</w:t>
      </w:r>
    </w:p>
    <w:p w:rsidR="00DB5DB6" w:rsidRDefault="00DB5DB6">
      <w:pPr>
        <w:tabs>
          <w:tab w:val="left" w:pos="1260"/>
          <w:tab w:val="left" w:pos="1530"/>
        </w:tabs>
      </w:pPr>
      <w:r>
        <w:tab/>
        <w:t>=</w:t>
      </w:r>
      <w:r>
        <w:tab/>
        <w:t xml:space="preserve">1,150 lb </w:t>
      </w:r>
      <w:r w:rsidR="00243DAF">
        <w:t>VOC</w:t>
      </w:r>
      <w:r>
        <w:t>/qtr</w:t>
      </w:r>
    </w:p>
    <w:p w:rsidR="00DB5DB6" w:rsidRDefault="00DB5DB6">
      <w:pPr>
        <w:suppressAutoHyphens/>
        <w:rPr>
          <w:bCs/>
          <w:spacing w:val="-3"/>
        </w:rPr>
      </w:pPr>
    </w:p>
    <w:p w:rsidR="00DB5DB6" w:rsidRDefault="00DB5DB6">
      <w:pPr>
        <w:tabs>
          <w:tab w:val="left" w:pos="1080"/>
          <w:tab w:val="left" w:pos="1350"/>
        </w:tabs>
        <w:autoSpaceDE w:val="0"/>
        <w:autoSpaceDN w:val="0"/>
        <w:adjustRightInd w:val="0"/>
        <w:rPr>
          <w:color w:val="000000"/>
        </w:rPr>
      </w:pPr>
      <w:r>
        <w:rPr>
          <w:color w:val="000000"/>
        </w:rPr>
        <w:t>PE1</w:t>
      </w:r>
      <w:r>
        <w:rPr>
          <w:color w:val="000000"/>
          <w:vertAlign w:val="subscript"/>
        </w:rPr>
        <w:t>quarterly</w:t>
      </w:r>
      <w:r>
        <w:rPr>
          <w:color w:val="000000"/>
        </w:rPr>
        <w:tab/>
        <w:t>= PE1</w:t>
      </w:r>
      <w:r>
        <w:rPr>
          <w:color w:val="000000"/>
          <w:vertAlign w:val="subscript"/>
        </w:rPr>
        <w:t>annual</w:t>
      </w:r>
      <w:r>
        <w:rPr>
          <w:color w:val="000000"/>
        </w:rPr>
        <w:t xml:space="preserve"> </w:t>
      </w:r>
      <w:r>
        <w:rPr>
          <w:color w:val="000000"/>
        </w:rPr>
        <w:sym w:font="Symbol" w:char="F0B8"/>
      </w:r>
      <w:r>
        <w:rPr>
          <w:color w:val="000000"/>
        </w:rPr>
        <w:t xml:space="preserve"> 4 </w:t>
      </w:r>
      <w:r>
        <w:t>quarters</w:t>
      </w:r>
      <w:r>
        <w:rPr>
          <w:color w:val="000000"/>
        </w:rPr>
        <w:t>/year</w:t>
      </w:r>
    </w:p>
    <w:p w:rsidR="00DB5DB6" w:rsidRDefault="00DB5DB6">
      <w:pPr>
        <w:tabs>
          <w:tab w:val="left" w:pos="1080"/>
          <w:tab w:val="left" w:pos="1350"/>
        </w:tabs>
        <w:autoSpaceDE w:val="0"/>
        <w:autoSpaceDN w:val="0"/>
        <w:adjustRightInd w:val="0"/>
      </w:pPr>
      <w:r>
        <w:rPr>
          <w:color w:val="000000"/>
        </w:rPr>
        <w:tab/>
      </w:r>
      <w:r>
        <w:rPr>
          <w:color w:val="000000"/>
        </w:rPr>
        <w:tab/>
        <w:t xml:space="preserve">= </w:t>
      </w:r>
      <w:r>
        <w:t xml:space="preserve">4,600 lb/year </w:t>
      </w:r>
      <w:r>
        <w:sym w:font="Symbol" w:char="F0B8"/>
      </w:r>
      <w:r>
        <w:t xml:space="preserve"> 4 qtr/year</w:t>
      </w:r>
    </w:p>
    <w:p w:rsidR="00DB5DB6" w:rsidRDefault="00DB5DB6">
      <w:pPr>
        <w:tabs>
          <w:tab w:val="left" w:pos="1080"/>
          <w:tab w:val="left" w:pos="1350"/>
        </w:tabs>
        <w:autoSpaceDE w:val="0"/>
        <w:autoSpaceDN w:val="0"/>
        <w:adjustRightInd w:val="0"/>
        <w:rPr>
          <w:color w:val="000000"/>
        </w:rPr>
      </w:pPr>
      <w:r>
        <w:tab/>
      </w:r>
      <w:r>
        <w:tab/>
        <w:t xml:space="preserve">= 1,150 lb </w:t>
      </w:r>
      <w:r w:rsidR="00243DAF">
        <w:t>VOC</w:t>
      </w:r>
      <w:r>
        <w:t>/qtr</w:t>
      </w:r>
    </w:p>
    <w:p w:rsidR="00DB5DB6" w:rsidRDefault="00DB5DB6">
      <w:pPr>
        <w:suppressAutoHyphens/>
        <w:rPr>
          <w:bCs/>
          <w:spacing w:val="-3"/>
        </w:rPr>
      </w:pPr>
    </w:p>
    <w:tbl>
      <w:tblPr>
        <w:tblW w:w="0" w:type="auto"/>
        <w:tblInd w:w="55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1800"/>
        <w:gridCol w:w="1800"/>
        <w:gridCol w:w="1800"/>
      </w:tblGrid>
      <w:tr w:rsidR="00DB5DB6" w:rsidTr="00D917EC">
        <w:trPr>
          <w:cantSplit/>
        </w:trPr>
        <w:tc>
          <w:tcPr>
            <w:tcW w:w="7200"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DB5DB6" w:rsidRDefault="00DB5DB6">
            <w:pPr>
              <w:autoSpaceDE w:val="0"/>
              <w:autoSpaceDN w:val="0"/>
              <w:adjustRightInd w:val="0"/>
              <w:ind w:left="-18" w:firstLine="18"/>
              <w:jc w:val="center"/>
              <w:rPr>
                <w:b/>
                <w:bCs/>
                <w:color w:val="000000"/>
              </w:rPr>
            </w:pPr>
            <w:r>
              <w:rPr>
                <w:b/>
                <w:bCs/>
                <w:color w:val="000000"/>
              </w:rPr>
              <w:t>Quarterly NEC [QNEC]</w:t>
            </w:r>
          </w:p>
        </w:tc>
      </w:tr>
      <w:tr w:rsidR="00DB5DB6" w:rsidTr="00D917EC">
        <w:tc>
          <w:tcPr>
            <w:tcW w:w="1800" w:type="dxa"/>
            <w:tcBorders>
              <w:top w:val="double" w:sz="4" w:space="0" w:color="auto"/>
              <w:left w:val="double" w:sz="4" w:space="0" w:color="auto"/>
              <w:bottom w:val="single" w:sz="12" w:space="0" w:color="auto"/>
            </w:tcBorders>
            <w:shd w:val="clear" w:color="auto" w:fill="auto"/>
            <w:vAlign w:val="center"/>
          </w:tcPr>
          <w:p w:rsidR="00DB5DB6" w:rsidRDefault="00DB5DB6">
            <w:pPr>
              <w:autoSpaceDE w:val="0"/>
              <w:autoSpaceDN w:val="0"/>
              <w:adjustRightInd w:val="0"/>
              <w:ind w:left="-18" w:firstLine="18"/>
              <w:jc w:val="center"/>
              <w:rPr>
                <w:color w:val="000000"/>
              </w:rPr>
            </w:pPr>
          </w:p>
        </w:tc>
        <w:tc>
          <w:tcPr>
            <w:tcW w:w="1800" w:type="dxa"/>
            <w:tcBorders>
              <w:top w:val="double" w:sz="4" w:space="0" w:color="auto"/>
              <w:bottom w:val="single" w:sz="12" w:space="0" w:color="auto"/>
            </w:tcBorders>
            <w:shd w:val="clear" w:color="auto" w:fill="auto"/>
            <w:vAlign w:val="center"/>
          </w:tcPr>
          <w:p w:rsidR="00DB5DB6" w:rsidRDefault="00DB5DB6">
            <w:pPr>
              <w:autoSpaceDE w:val="0"/>
              <w:autoSpaceDN w:val="0"/>
              <w:adjustRightInd w:val="0"/>
              <w:ind w:left="-18" w:firstLine="18"/>
              <w:jc w:val="center"/>
              <w:rPr>
                <w:color w:val="000000"/>
              </w:rPr>
            </w:pPr>
            <w:r>
              <w:rPr>
                <w:color w:val="000000"/>
              </w:rPr>
              <w:t>PE2 (lb/qtr)</w:t>
            </w:r>
          </w:p>
        </w:tc>
        <w:tc>
          <w:tcPr>
            <w:tcW w:w="1800" w:type="dxa"/>
            <w:tcBorders>
              <w:top w:val="double" w:sz="4" w:space="0" w:color="auto"/>
              <w:bottom w:val="single" w:sz="12" w:space="0" w:color="auto"/>
            </w:tcBorders>
            <w:shd w:val="clear" w:color="auto" w:fill="auto"/>
            <w:vAlign w:val="center"/>
          </w:tcPr>
          <w:p w:rsidR="00DB5DB6" w:rsidRDefault="00DB5DB6">
            <w:pPr>
              <w:autoSpaceDE w:val="0"/>
              <w:autoSpaceDN w:val="0"/>
              <w:adjustRightInd w:val="0"/>
              <w:ind w:left="-18" w:firstLine="18"/>
              <w:jc w:val="center"/>
              <w:rPr>
                <w:color w:val="000000"/>
              </w:rPr>
            </w:pPr>
            <w:r>
              <w:rPr>
                <w:color w:val="000000"/>
              </w:rPr>
              <w:t>PE1 (lb/qtr)</w:t>
            </w:r>
          </w:p>
        </w:tc>
        <w:tc>
          <w:tcPr>
            <w:tcW w:w="1800" w:type="dxa"/>
            <w:tcBorders>
              <w:top w:val="double" w:sz="4" w:space="0" w:color="auto"/>
              <w:bottom w:val="single" w:sz="12" w:space="0" w:color="auto"/>
              <w:right w:val="double" w:sz="4" w:space="0" w:color="auto"/>
            </w:tcBorders>
            <w:shd w:val="clear" w:color="auto" w:fill="auto"/>
            <w:vAlign w:val="center"/>
          </w:tcPr>
          <w:p w:rsidR="00DB5DB6" w:rsidRDefault="00DB5DB6">
            <w:pPr>
              <w:autoSpaceDE w:val="0"/>
              <w:autoSpaceDN w:val="0"/>
              <w:adjustRightInd w:val="0"/>
              <w:ind w:left="-18" w:firstLine="18"/>
              <w:jc w:val="center"/>
              <w:rPr>
                <w:color w:val="000000"/>
              </w:rPr>
            </w:pPr>
            <w:r>
              <w:rPr>
                <w:color w:val="000000"/>
              </w:rPr>
              <w:t>QNEC (lb/qtr)</w:t>
            </w:r>
          </w:p>
        </w:tc>
      </w:tr>
      <w:tr w:rsidR="00DB5DB6">
        <w:tc>
          <w:tcPr>
            <w:tcW w:w="1800" w:type="dxa"/>
            <w:tcBorders>
              <w:top w:val="single" w:sz="4" w:space="0" w:color="auto"/>
              <w:left w:val="double" w:sz="4" w:space="0" w:color="auto"/>
              <w:bottom w:val="double" w:sz="4" w:space="0" w:color="auto"/>
            </w:tcBorders>
            <w:vAlign w:val="center"/>
          </w:tcPr>
          <w:p w:rsidR="00DB5DB6" w:rsidRDefault="00DB5DB6">
            <w:pPr>
              <w:autoSpaceDE w:val="0"/>
              <w:autoSpaceDN w:val="0"/>
              <w:adjustRightInd w:val="0"/>
              <w:ind w:left="-18" w:firstLine="18"/>
              <w:jc w:val="center"/>
              <w:rPr>
                <w:color w:val="000000"/>
              </w:rPr>
            </w:pPr>
            <w:r>
              <w:rPr>
                <w:color w:val="000000"/>
              </w:rPr>
              <w:t>VOC</w:t>
            </w:r>
          </w:p>
        </w:tc>
        <w:tc>
          <w:tcPr>
            <w:tcW w:w="1800" w:type="dxa"/>
            <w:tcBorders>
              <w:top w:val="single" w:sz="4" w:space="0" w:color="auto"/>
              <w:bottom w:val="double" w:sz="4" w:space="0" w:color="auto"/>
            </w:tcBorders>
          </w:tcPr>
          <w:p w:rsidR="00DB5DB6" w:rsidRDefault="00DB5DB6">
            <w:pPr>
              <w:numPr>
                <w:ilvl w:val="12"/>
                <w:numId w:val="0"/>
              </w:numPr>
              <w:suppressAutoHyphens/>
              <w:jc w:val="center"/>
            </w:pPr>
            <w:r>
              <w:t>0</w:t>
            </w:r>
          </w:p>
        </w:tc>
        <w:tc>
          <w:tcPr>
            <w:tcW w:w="1800" w:type="dxa"/>
            <w:tcBorders>
              <w:top w:val="single" w:sz="4" w:space="0" w:color="auto"/>
              <w:bottom w:val="double" w:sz="4" w:space="0" w:color="auto"/>
            </w:tcBorders>
            <w:vAlign w:val="center"/>
          </w:tcPr>
          <w:p w:rsidR="00DB5DB6" w:rsidRDefault="00DB5DB6">
            <w:pPr>
              <w:autoSpaceDE w:val="0"/>
              <w:autoSpaceDN w:val="0"/>
              <w:adjustRightInd w:val="0"/>
              <w:ind w:left="-18" w:firstLine="18"/>
              <w:jc w:val="center"/>
              <w:rPr>
                <w:color w:val="000000"/>
              </w:rPr>
            </w:pPr>
            <w:r>
              <w:rPr>
                <w:color w:val="000000"/>
              </w:rPr>
              <w:t>0</w:t>
            </w:r>
          </w:p>
        </w:tc>
        <w:tc>
          <w:tcPr>
            <w:tcW w:w="1800" w:type="dxa"/>
            <w:tcBorders>
              <w:top w:val="single" w:sz="4" w:space="0" w:color="auto"/>
              <w:bottom w:val="double" w:sz="4" w:space="0" w:color="auto"/>
              <w:right w:val="double" w:sz="4" w:space="0" w:color="auto"/>
            </w:tcBorders>
            <w:vAlign w:val="center"/>
          </w:tcPr>
          <w:p w:rsidR="00DB5DB6" w:rsidRDefault="00DB5DB6">
            <w:pPr>
              <w:autoSpaceDE w:val="0"/>
              <w:autoSpaceDN w:val="0"/>
              <w:adjustRightInd w:val="0"/>
              <w:ind w:left="-18" w:firstLine="18"/>
              <w:jc w:val="center"/>
              <w:rPr>
                <w:color w:val="000000"/>
              </w:rPr>
            </w:pPr>
            <w:r>
              <w:rPr>
                <w:color w:val="000000"/>
              </w:rPr>
              <w:t>0</w:t>
            </w:r>
          </w:p>
        </w:tc>
      </w:tr>
    </w:tbl>
    <w:p w:rsidR="00DB5DB6" w:rsidRDefault="00DB5DB6">
      <w:pPr>
        <w:autoSpaceDE w:val="0"/>
        <w:autoSpaceDN w:val="0"/>
        <w:adjustRightInd w:val="0"/>
        <w:ind w:left="450"/>
        <w:rPr>
          <w:color w:val="FF0000"/>
        </w:rPr>
      </w:pPr>
      <w:r>
        <w:rPr>
          <w:i/>
          <w:iCs/>
          <w:color w:val="FF0000"/>
        </w:rPr>
        <w:t>(</w:t>
      </w:r>
      <w:r>
        <w:rPr>
          <w:i/>
          <w:iCs/>
          <w:color w:val="FF0000"/>
          <w:u w:val="single"/>
        </w:rPr>
        <w:t>Note</w:t>
      </w:r>
      <w:r>
        <w:rPr>
          <w:i/>
          <w:iCs/>
          <w:color w:val="FF0000"/>
        </w:rPr>
        <w:t>: Include a table for each permit unit, if it makes sense to do so.)</w:t>
      </w:r>
    </w:p>
    <w:p w:rsidR="00DB5DB6" w:rsidRDefault="00DB5DB6">
      <w:pPr>
        <w:jc w:val="center"/>
        <w:rPr>
          <w:sz w:val="40"/>
        </w:rPr>
      </w:pPr>
      <w:r>
        <w:rPr>
          <w:sz w:val="40"/>
        </w:rPr>
        <w:br w:type="page"/>
      </w:r>
    </w:p>
    <w:p w:rsidR="00C632AF" w:rsidRDefault="00C632AF">
      <w:pPr>
        <w:jc w:val="center"/>
        <w:rPr>
          <w:sz w:val="40"/>
        </w:rPr>
        <w:sectPr w:rsidR="00C632AF" w:rsidSect="00D266D5">
          <w:pgSz w:w="12240" w:h="15840" w:code="1"/>
          <w:pgMar w:top="1440" w:right="1440" w:bottom="1440" w:left="1440" w:header="720" w:footer="806" w:gutter="0"/>
          <w:paperSrc w:first="262" w:other="262"/>
          <w:cols w:space="720"/>
        </w:sectPr>
      </w:pPr>
    </w:p>
    <w:p w:rsidR="00DB5DB6" w:rsidRPr="00D266D5" w:rsidRDefault="00DB5DB6">
      <w:pPr>
        <w:jc w:val="center"/>
        <w:rPr>
          <w:b/>
          <w:sz w:val="44"/>
          <w:szCs w:val="44"/>
        </w:rPr>
      </w:pPr>
      <w:r w:rsidRPr="00D266D5">
        <w:rPr>
          <w:b/>
          <w:sz w:val="44"/>
          <w:szCs w:val="44"/>
        </w:rPr>
        <w:lastRenderedPageBreak/>
        <w:t>APPENDIX C</w:t>
      </w:r>
    </w:p>
    <w:p w:rsidR="00DB5DB6" w:rsidRDefault="00DB5DB6">
      <w:pPr>
        <w:jc w:val="center"/>
        <w:rPr>
          <w:sz w:val="36"/>
        </w:rPr>
      </w:pPr>
    </w:p>
    <w:p w:rsidR="00DB5DB6" w:rsidRPr="00D266D5" w:rsidRDefault="00DB5DB6">
      <w:pPr>
        <w:jc w:val="center"/>
        <w:rPr>
          <w:b/>
          <w:bCs/>
          <w:sz w:val="32"/>
          <w:szCs w:val="32"/>
        </w:rPr>
        <w:sectPr w:rsidR="00DB5DB6" w:rsidRPr="00D266D5" w:rsidSect="00D266D5">
          <w:pgSz w:w="12240" w:h="15840" w:code="1"/>
          <w:pgMar w:top="1440" w:right="1440" w:bottom="1440" w:left="1440" w:header="720" w:footer="806" w:gutter="0"/>
          <w:paperSrc w:first="262" w:other="262"/>
          <w:cols w:space="720"/>
          <w:vAlign w:val="center"/>
        </w:sectPr>
      </w:pPr>
      <w:r w:rsidRPr="00D266D5">
        <w:rPr>
          <w:b/>
          <w:bCs/>
          <w:sz w:val="32"/>
          <w:szCs w:val="32"/>
        </w:rPr>
        <w:t>HRA S</w:t>
      </w:r>
      <w:r w:rsidR="0040122A" w:rsidRPr="00D266D5">
        <w:rPr>
          <w:b/>
          <w:bCs/>
          <w:sz w:val="32"/>
          <w:szCs w:val="32"/>
        </w:rPr>
        <w:t>ummary</w:t>
      </w:r>
    </w:p>
    <w:p w:rsidR="00DB5DB6" w:rsidRPr="00D266D5" w:rsidRDefault="00DB5DB6">
      <w:pPr>
        <w:jc w:val="center"/>
        <w:rPr>
          <w:b/>
          <w:sz w:val="44"/>
          <w:szCs w:val="44"/>
        </w:rPr>
      </w:pPr>
      <w:r w:rsidRPr="00D266D5">
        <w:rPr>
          <w:b/>
          <w:sz w:val="44"/>
          <w:szCs w:val="44"/>
        </w:rPr>
        <w:lastRenderedPageBreak/>
        <w:t>APPENDIX D</w:t>
      </w:r>
    </w:p>
    <w:p w:rsidR="00DB5DB6" w:rsidRDefault="00DB5DB6">
      <w:pPr>
        <w:jc w:val="center"/>
        <w:rPr>
          <w:sz w:val="36"/>
        </w:rPr>
      </w:pPr>
    </w:p>
    <w:p w:rsidR="00DB5DB6" w:rsidRPr="00D266D5" w:rsidRDefault="00DB5DB6">
      <w:pPr>
        <w:jc w:val="center"/>
        <w:rPr>
          <w:b/>
          <w:bCs/>
          <w:sz w:val="32"/>
          <w:szCs w:val="32"/>
        </w:rPr>
        <w:sectPr w:rsidR="00DB5DB6" w:rsidRPr="00D266D5" w:rsidSect="00D266D5">
          <w:pgSz w:w="12240" w:h="15840" w:code="1"/>
          <w:pgMar w:top="1440" w:right="1440" w:bottom="1440" w:left="1440" w:header="720" w:footer="806" w:gutter="0"/>
          <w:paperSrc w:first="262" w:other="262"/>
          <w:cols w:space="720"/>
          <w:vAlign w:val="center"/>
        </w:sectPr>
      </w:pPr>
      <w:r w:rsidRPr="00D266D5">
        <w:rPr>
          <w:b/>
          <w:bCs/>
          <w:sz w:val="32"/>
          <w:szCs w:val="32"/>
        </w:rPr>
        <w:t>D</w:t>
      </w:r>
      <w:r w:rsidR="0040122A" w:rsidRPr="00D266D5">
        <w:rPr>
          <w:b/>
          <w:bCs/>
          <w:sz w:val="32"/>
          <w:szCs w:val="32"/>
        </w:rPr>
        <w:t>raft</w:t>
      </w:r>
      <w:r w:rsidRPr="00D266D5">
        <w:rPr>
          <w:b/>
          <w:bCs/>
          <w:sz w:val="32"/>
          <w:szCs w:val="32"/>
        </w:rPr>
        <w:t xml:space="preserve"> A</w:t>
      </w:r>
      <w:r w:rsidR="0040122A" w:rsidRPr="00D266D5">
        <w:rPr>
          <w:b/>
          <w:bCs/>
          <w:sz w:val="32"/>
          <w:szCs w:val="32"/>
        </w:rPr>
        <w:t>uthority</w:t>
      </w:r>
      <w:r w:rsidRPr="00D266D5">
        <w:rPr>
          <w:b/>
          <w:bCs/>
          <w:sz w:val="32"/>
          <w:szCs w:val="32"/>
        </w:rPr>
        <w:t xml:space="preserve"> </w:t>
      </w:r>
      <w:r w:rsidR="0040122A" w:rsidRPr="00D266D5">
        <w:rPr>
          <w:b/>
          <w:bCs/>
          <w:sz w:val="32"/>
          <w:szCs w:val="32"/>
        </w:rPr>
        <w:t>to</w:t>
      </w:r>
      <w:r w:rsidRPr="00D266D5">
        <w:rPr>
          <w:b/>
          <w:bCs/>
          <w:sz w:val="32"/>
          <w:szCs w:val="32"/>
        </w:rPr>
        <w:t xml:space="preserve"> C</w:t>
      </w:r>
      <w:r w:rsidR="0040122A" w:rsidRPr="00D266D5">
        <w:rPr>
          <w:b/>
          <w:bCs/>
          <w:sz w:val="32"/>
          <w:szCs w:val="32"/>
        </w:rPr>
        <w:t>onstruct</w:t>
      </w:r>
    </w:p>
    <w:p w:rsidR="00DB5DB6" w:rsidRPr="00D266D5" w:rsidRDefault="00DB5DB6">
      <w:pPr>
        <w:jc w:val="center"/>
        <w:rPr>
          <w:b/>
          <w:sz w:val="44"/>
          <w:szCs w:val="44"/>
        </w:rPr>
      </w:pPr>
      <w:r w:rsidRPr="00D266D5">
        <w:rPr>
          <w:b/>
          <w:sz w:val="44"/>
          <w:szCs w:val="44"/>
        </w:rPr>
        <w:lastRenderedPageBreak/>
        <w:t>APPENDIX E</w:t>
      </w:r>
    </w:p>
    <w:p w:rsidR="00DB5DB6" w:rsidRDefault="00DB5DB6">
      <w:pPr>
        <w:jc w:val="center"/>
        <w:rPr>
          <w:sz w:val="36"/>
        </w:rPr>
      </w:pPr>
    </w:p>
    <w:p w:rsidR="00DB5DB6" w:rsidRPr="00D266D5" w:rsidRDefault="0040122A">
      <w:pPr>
        <w:jc w:val="center"/>
        <w:rPr>
          <w:b/>
          <w:bCs/>
          <w:sz w:val="32"/>
          <w:szCs w:val="32"/>
        </w:rPr>
      </w:pPr>
      <w:r w:rsidRPr="00D266D5">
        <w:rPr>
          <w:b/>
          <w:bCs/>
          <w:sz w:val="32"/>
          <w:szCs w:val="32"/>
        </w:rPr>
        <w:t>Emissions Profile</w:t>
      </w:r>
    </w:p>
    <w:p w:rsidR="00DB5DB6" w:rsidRDefault="00DB5DB6"/>
    <w:p w:rsidR="007F6B5F" w:rsidRDefault="007F6B5F">
      <w:pPr>
        <w:rPr>
          <w:sz w:val="28"/>
        </w:rPr>
        <w:sectPr w:rsidR="007F6B5F" w:rsidSect="00D266D5">
          <w:pgSz w:w="12240" w:h="15840" w:code="1"/>
          <w:pgMar w:top="1440" w:right="1440" w:bottom="1440" w:left="1440" w:header="720" w:footer="806" w:gutter="0"/>
          <w:paperSrc w:first="262" w:other="262"/>
          <w:cols w:space="720"/>
          <w:vAlign w:val="center"/>
        </w:sectPr>
      </w:pPr>
    </w:p>
    <w:p w:rsidR="007F6B5F" w:rsidRDefault="007F6B5F" w:rsidP="007F6B5F">
      <w:pPr>
        <w:jc w:val="center"/>
        <w:rPr>
          <w:b/>
          <w:bCs/>
          <w:i/>
          <w:iCs/>
          <w:sz w:val="28"/>
          <w:u w:val="single"/>
        </w:rPr>
      </w:pPr>
      <w:r w:rsidRPr="007F6B5F">
        <w:rPr>
          <w:b/>
          <w:bCs/>
          <w:i/>
          <w:iCs/>
          <w:sz w:val="28"/>
          <w:u w:val="single"/>
        </w:rPr>
        <w:lastRenderedPageBreak/>
        <w:t>Conditions</w:t>
      </w:r>
    </w:p>
    <w:p w:rsidR="007F6B5F" w:rsidRPr="0058168B" w:rsidRDefault="0040122A" w:rsidP="007F6B5F">
      <w:pPr>
        <w:jc w:val="center"/>
        <w:rPr>
          <w:color w:val="FF0000"/>
          <w:sz w:val="28"/>
        </w:rPr>
      </w:pPr>
      <w:r w:rsidRPr="0058168B">
        <w:rPr>
          <w:b/>
          <w:bCs/>
          <w:i/>
          <w:iCs/>
          <w:color w:val="FF0000"/>
          <w:sz w:val="28"/>
          <w:u w:val="single"/>
        </w:rPr>
        <w:t>(Do Not Include With Application Review)</w:t>
      </w:r>
    </w:p>
    <w:p w:rsidR="007F6B5F" w:rsidRPr="007F6B5F" w:rsidRDefault="007F6B5F" w:rsidP="007F6B5F">
      <w:pPr>
        <w:jc w:val="center"/>
        <w:rPr>
          <w:sz w:val="28"/>
        </w:rPr>
      </w:pPr>
    </w:p>
    <w:p w:rsidR="007F6B5F" w:rsidRPr="007F6B5F" w:rsidRDefault="007F6B5F" w:rsidP="007F6B5F">
      <w:r w:rsidRPr="007F6B5F">
        <w:t>{1420} The soil remediation system shall be maintained in proper operating condition at all times. [District Rule 2201] N</w:t>
      </w:r>
    </w:p>
    <w:p w:rsidR="007F6B5F" w:rsidRPr="007F6B5F" w:rsidRDefault="007F6B5F" w:rsidP="007F6B5F">
      <w:r w:rsidRPr="007F6B5F">
        <w:cr/>
        <w:t>{15} No air contaminant shall be discharged into the atmosphere for a period or periods aggregating more than three minutes in any one hour which is as dark as, or darker than, Ringelmann 1 or 20% opacity. [District Rule 4101] N</w:t>
      </w:r>
    </w:p>
    <w:p w:rsidR="007F6B5F" w:rsidRPr="007F6B5F" w:rsidRDefault="007F6B5F" w:rsidP="007F6B5F">
      <w:r w:rsidRPr="007F6B5F">
        <w:cr/>
        <w:t>{98} No air contaminant shall be released into the atmosphere which causes a public nuisance. [District Rule 4102] N</w:t>
      </w:r>
    </w:p>
    <w:p w:rsidR="007F6B5F" w:rsidRPr="007F6B5F" w:rsidRDefault="007F6B5F" w:rsidP="007F6B5F">
      <w:pPr>
        <w:rPr>
          <w:color w:val="000000"/>
        </w:rPr>
      </w:pPr>
      <w:r w:rsidRPr="007F6B5F">
        <w:cr/>
      </w:r>
      <w:r w:rsidRPr="007F6B5F">
        <w:rPr>
          <w:color w:val="000000"/>
        </w:rPr>
        <w:t>If effluent VOC emissions are greater than 2.0 lb/day, the VOC control device shall be at least 95% efficient in controlling the VOC from the soil remediation project.  [District Rule 2201] N</w:t>
      </w:r>
    </w:p>
    <w:p w:rsidR="007F6B5F" w:rsidRPr="007F6B5F" w:rsidRDefault="007F6B5F" w:rsidP="007F6B5F">
      <w:pPr>
        <w:rPr>
          <w:b/>
          <w:bCs/>
        </w:rPr>
      </w:pPr>
    </w:p>
    <w:p w:rsidR="007F6B5F" w:rsidRPr="007F6B5F" w:rsidRDefault="007F6B5F" w:rsidP="007F6B5F">
      <w:r w:rsidRPr="007F6B5F">
        <w:t xml:space="preserve">{2856} The total VOC emissions from the soil remediation system shall not exceed </w:t>
      </w:r>
      <w:r w:rsidRPr="0058168B">
        <w:rPr>
          <w:color w:val="0070C0"/>
        </w:rPr>
        <w:t>xxx</w:t>
      </w:r>
      <w:r w:rsidRPr="007F6B5F">
        <w:t xml:space="preserve"> pounds in any one day. [District Rule 2201] N</w:t>
      </w:r>
    </w:p>
    <w:p w:rsidR="007F6B5F" w:rsidRPr="007F6B5F" w:rsidRDefault="007F6B5F" w:rsidP="007F6B5F">
      <w:r w:rsidRPr="007F6B5F">
        <w:cr/>
        <w:t xml:space="preserve">{1422} Neither the soil ventilation rate nor the effluent gas flow rate shall exceed </w:t>
      </w:r>
      <w:r w:rsidRPr="0058168B">
        <w:rPr>
          <w:color w:val="0070C0"/>
        </w:rPr>
        <w:t>xxx</w:t>
      </w:r>
      <w:r w:rsidRPr="007F6B5F">
        <w:t xml:space="preserve"> scfm. [District Rule 2201] N</w:t>
      </w:r>
    </w:p>
    <w:p w:rsidR="007F6B5F" w:rsidRPr="007F6B5F" w:rsidRDefault="007F6B5F" w:rsidP="007F6B5F"/>
    <w:p w:rsidR="007F6B5F" w:rsidRPr="007F6B5F" w:rsidRDefault="007F6B5F" w:rsidP="007F6B5F">
      <w:pPr>
        <w:suppressAutoHyphens/>
        <w:jc w:val="both"/>
        <w:rPr>
          <w:color w:val="000000"/>
        </w:rPr>
      </w:pPr>
      <w:r w:rsidRPr="007F6B5F">
        <w:rPr>
          <w:color w:val="000000"/>
        </w:rPr>
        <w:t xml:space="preserve">The VOC concentration of the exhaust gas from the soil remediation system served by </w:t>
      </w:r>
      <w:r w:rsidRPr="007F6B5F">
        <w:rPr>
          <w:color w:val="000000"/>
          <w:spacing w:val="-3"/>
        </w:rPr>
        <w:t xml:space="preserve">the carbon adsorption </w:t>
      </w:r>
      <w:r w:rsidRPr="007F6B5F">
        <w:rPr>
          <w:color w:val="000000"/>
        </w:rPr>
        <w:t xml:space="preserve">shall not exceed </w:t>
      </w:r>
      <w:r w:rsidRPr="0058168B">
        <w:rPr>
          <w:color w:val="0070C0"/>
        </w:rPr>
        <w:t>xxx</w:t>
      </w:r>
      <w:r w:rsidRPr="007F6B5F">
        <w:rPr>
          <w:color w:val="000000"/>
        </w:rPr>
        <w:t xml:space="preserve"> ppmv, as methane .  [District Rule 2201]</w:t>
      </w:r>
    </w:p>
    <w:p w:rsidR="007F6B5F" w:rsidRPr="007F6B5F" w:rsidRDefault="007F6B5F" w:rsidP="007F6B5F">
      <w:r w:rsidRPr="007F6B5F">
        <w:cr/>
        <w:t>{1412} A minimum of two carbon canisters which are connected in series shall be utilized. [District Rule 2201] N</w:t>
      </w:r>
    </w:p>
    <w:p w:rsidR="007F6B5F" w:rsidRPr="007F6B5F" w:rsidRDefault="007F6B5F" w:rsidP="007F6B5F">
      <w:r w:rsidRPr="007F6B5F">
        <w:cr/>
        <w:t>{1413} Sampling ports adequate for extraction of grab samples, measurement of gas flow rate, and use of an FID, PID, or other District-approved VOC detection device shall be provided for both the influent and the effluent gas streams. [District Rule 1081] N</w:t>
      </w:r>
    </w:p>
    <w:p w:rsidR="007F6B5F" w:rsidRPr="007F6B5F" w:rsidRDefault="007F6B5F" w:rsidP="007F6B5F">
      <w:pPr>
        <w:rPr>
          <w:strike/>
          <w:color w:val="000000"/>
        </w:rPr>
      </w:pPr>
      <w:r w:rsidRPr="007F6B5F">
        <w:cr/>
        <w:t>{1414} Laboratory samples shall be taken at the initial inspection, under the supervision of the APCD Inspector.  Samples shall be taken from both the influent and the effluent gas stream sampling ports. [District Rule 1081] N</w:t>
      </w:r>
    </w:p>
    <w:p w:rsidR="007F6B5F" w:rsidRPr="007F6B5F" w:rsidRDefault="007F6B5F" w:rsidP="007F6B5F">
      <w:r w:rsidRPr="007F6B5F">
        <w:cr/>
        <w:t>{1416} Measurements to determine the influent and the effluent gas flow rates shall be taken at the initial inspection.  Flow rate calculations shall be submitted to the District along with the laboratory sample analysis results. [District Rule 1081] N</w:t>
      </w:r>
    </w:p>
    <w:p w:rsidR="007F6B5F" w:rsidRPr="007F6B5F" w:rsidRDefault="007F6B5F" w:rsidP="007F6B5F">
      <w:r w:rsidRPr="007F6B5F">
        <w:cr/>
        <w:t>{1417} Initial compliance with VOC emission rate and control efficiency requirements shall be demonstrated by the results of the laboratory sample analysis.  The results shall be submitted to the District within 60 days of the test. [District Rule 1081] N</w:t>
      </w:r>
    </w:p>
    <w:p w:rsidR="007F6B5F" w:rsidRPr="007F6B5F" w:rsidRDefault="007F6B5F" w:rsidP="007F6B5F">
      <w:pPr>
        <w:rPr>
          <w:b/>
          <w:bCs/>
        </w:rPr>
      </w:pPr>
      <w:r w:rsidRPr="007F6B5F">
        <w:cr/>
        <w:t xml:space="preserve">Sampling to demonstrate ongoing </w:t>
      </w:r>
      <w:r w:rsidR="002F1A29" w:rsidRPr="007F6B5F">
        <w:t>compliance with</w:t>
      </w:r>
      <w:r w:rsidRPr="007F6B5F">
        <w:t xml:space="preserve"> the VOC emission rate and control efficiency requirements shall be performed at least once per week by sampling both the </w:t>
      </w:r>
      <w:r w:rsidRPr="007F6B5F">
        <w:lastRenderedPageBreak/>
        <w:t>influent and the effluent gas streams with an FID, PID, or other District-approved VOC detection device.</w:t>
      </w:r>
      <w:r w:rsidRPr="007F6B5F">
        <w:rPr>
          <w:b/>
          <w:bCs/>
        </w:rPr>
        <w:t xml:space="preserve"> </w:t>
      </w:r>
      <w:r w:rsidRPr="007F6B5F">
        <w:t>[District Rule 1081] N</w:t>
      </w:r>
    </w:p>
    <w:p w:rsidR="007F6B5F" w:rsidRPr="007F6B5F" w:rsidRDefault="007F6B5F" w:rsidP="007F6B5F">
      <w:pPr>
        <w:rPr>
          <w:b/>
          <w:bCs/>
          <w:highlight w:val="yellow"/>
        </w:rPr>
      </w:pPr>
    </w:p>
    <w:p w:rsidR="007F6B5F" w:rsidRPr="007F6B5F" w:rsidRDefault="007F6B5F" w:rsidP="007F6B5F">
      <w:pPr>
        <w:rPr>
          <w:color w:val="FF0000"/>
        </w:rPr>
      </w:pPr>
      <w:r w:rsidRPr="007F6B5F">
        <w:rPr>
          <w:color w:val="FF0000"/>
        </w:rPr>
        <w:t>Control device may be taken off-line after uncontrolled VOC emissions from the soil remediation operation does not exceed 2.0 lb/day, as demonstrated by five consecutive weekly samples using a FID, PID, or other District-approved VOC detection device .  Once taken off-line, permittee shall conduct monthly sampling with a FID, PID, or other District-approved VOC detection device to ensure uncontrolled VOC emissions do not exceed 2.0 lb/day.  If uncontrolled VOC emissions exceed 2.0 lb/day, the control device shall be placed back on-line as soon as possible. [District Rule 2201] N</w:t>
      </w:r>
    </w:p>
    <w:p w:rsidR="007F6B5F" w:rsidRPr="007F6B5F" w:rsidRDefault="007F6B5F" w:rsidP="007F6B5F"/>
    <w:p w:rsidR="007F6B5F" w:rsidRPr="007F6B5F" w:rsidRDefault="007F6B5F" w:rsidP="007F6B5F">
      <w:r w:rsidRPr="007F6B5F">
        <w:t>{1421} The carbon canisters removed from the system shall be sealed vapor tight. [District Rule 2201] N</w:t>
      </w:r>
    </w:p>
    <w:p w:rsidR="007F6B5F" w:rsidRPr="007F6B5F" w:rsidRDefault="007F6B5F" w:rsidP="007F6B5F">
      <w:r w:rsidRPr="007F6B5F">
        <w:cr/>
        <w:t>{1425} Records of the cumulative running time and the measured influent and effluent VOC concentrations shall be maintained. [District Rule 2201] N</w:t>
      </w:r>
    </w:p>
    <w:p w:rsidR="007F6B5F" w:rsidRPr="007F6B5F" w:rsidRDefault="007F6B5F" w:rsidP="007F6B5F">
      <w:r w:rsidRPr="007F6B5F">
        <w:cr/>
        <w:t>{2780} All records shall be retained for a minimum of five years, and shall be made available for District inspection upon request. [District Rule 2201] N</w:t>
      </w:r>
    </w:p>
    <w:p w:rsidR="007F6B5F" w:rsidRPr="007F6B5F" w:rsidRDefault="007F6B5F" w:rsidP="007F6B5F">
      <w:pPr>
        <w:rPr>
          <w:sz w:val="28"/>
        </w:rPr>
      </w:pPr>
    </w:p>
    <w:p w:rsidR="00DB5DB6" w:rsidRDefault="00DB5DB6">
      <w:pPr>
        <w:rPr>
          <w:sz w:val="28"/>
        </w:rPr>
      </w:pPr>
    </w:p>
    <w:sectPr w:rsidR="00DB5DB6" w:rsidSect="0058168B">
      <w:pgSz w:w="12240" w:h="15840" w:code="1"/>
      <w:pgMar w:top="720" w:right="1440" w:bottom="720" w:left="1440" w:header="720" w:footer="806"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D0E" w:rsidRDefault="003E1D0E">
      <w:r>
        <w:separator/>
      </w:r>
    </w:p>
  </w:endnote>
  <w:endnote w:type="continuationSeparator" w:id="0">
    <w:p w:rsidR="003E1D0E" w:rsidRDefault="003E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0E" w:rsidRDefault="003E1D0E">
    <w:pPr>
      <w:framePr w:wrap="around" w:vAnchor="text" w:hAnchor="margin" w:xAlign="center" w:y="1"/>
    </w:pPr>
    <w:r>
      <w:fldChar w:fldCharType="begin"/>
    </w:r>
    <w:r>
      <w:instrText xml:space="preserve">PAGE  </w:instrText>
    </w:r>
    <w:r>
      <w:fldChar w:fldCharType="separate"/>
    </w:r>
    <w:r>
      <w:rPr>
        <w:noProof/>
      </w:rPr>
      <w:t>4</w:t>
    </w:r>
    <w:r>
      <w:fldChar w:fldCharType="end"/>
    </w:r>
  </w:p>
  <w:p w:rsidR="003E1D0E" w:rsidRDefault="003E1D0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0E" w:rsidRPr="00DB3914" w:rsidRDefault="003E1D0E">
    <w:pPr>
      <w:pStyle w:val="Footer"/>
      <w:jc w:val="center"/>
      <w:rPr>
        <w:sz w:val="20"/>
      </w:rPr>
    </w:pPr>
    <w:r w:rsidRPr="00DB3914">
      <w:rPr>
        <w:sz w:val="20"/>
      </w:rPr>
      <w:t xml:space="preserve">Page </w:t>
    </w:r>
    <w:sdt>
      <w:sdtPr>
        <w:rPr>
          <w:sz w:val="20"/>
        </w:rPr>
        <w:id w:val="560518358"/>
        <w:docPartObj>
          <w:docPartGallery w:val="Page Numbers (Bottom of Page)"/>
          <w:docPartUnique/>
        </w:docPartObj>
      </w:sdtPr>
      <w:sdtEndPr>
        <w:rPr>
          <w:noProof/>
        </w:rPr>
      </w:sdtEndPr>
      <w:sdtContent>
        <w:r w:rsidRPr="00DB3914">
          <w:rPr>
            <w:sz w:val="20"/>
          </w:rPr>
          <w:fldChar w:fldCharType="begin"/>
        </w:r>
        <w:r w:rsidRPr="00DB3914">
          <w:rPr>
            <w:sz w:val="20"/>
          </w:rPr>
          <w:instrText xml:space="preserve"> PAGE   \* MERGEFORMAT </w:instrText>
        </w:r>
        <w:r w:rsidRPr="00DB3914">
          <w:rPr>
            <w:sz w:val="20"/>
          </w:rPr>
          <w:fldChar w:fldCharType="separate"/>
        </w:r>
        <w:r w:rsidR="00D97708">
          <w:rPr>
            <w:noProof/>
            <w:sz w:val="20"/>
          </w:rPr>
          <w:t>2</w:t>
        </w:r>
        <w:r w:rsidRPr="00DB3914">
          <w:rPr>
            <w:noProof/>
            <w:sz w:val="20"/>
          </w:rPr>
          <w:fldChar w:fldCharType="end"/>
        </w:r>
      </w:sdtContent>
    </w:sdt>
  </w:p>
  <w:p w:rsidR="003E1D0E" w:rsidRDefault="003E1D0E">
    <w:pPr>
      <w:jc w:val="center"/>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928958119"/>
      <w:docPartObj>
        <w:docPartGallery w:val="Page Numbers (Bottom of Page)"/>
        <w:docPartUnique/>
      </w:docPartObj>
    </w:sdtPr>
    <w:sdtEndPr>
      <w:rPr>
        <w:noProof/>
      </w:rPr>
    </w:sdtEndPr>
    <w:sdtContent>
      <w:p w:rsidR="003E1D0E" w:rsidRPr="002A6084" w:rsidRDefault="003E1D0E">
        <w:pPr>
          <w:pStyle w:val="Footer"/>
          <w:jc w:val="center"/>
          <w:rPr>
            <w:sz w:val="20"/>
          </w:rPr>
        </w:pPr>
        <w:r w:rsidRPr="002A6084">
          <w:rPr>
            <w:sz w:val="20"/>
          </w:rPr>
          <w:t xml:space="preserve">Page </w:t>
        </w:r>
        <w:r w:rsidRPr="002A6084">
          <w:rPr>
            <w:sz w:val="20"/>
          </w:rPr>
          <w:fldChar w:fldCharType="begin"/>
        </w:r>
        <w:r w:rsidRPr="002A6084">
          <w:rPr>
            <w:sz w:val="20"/>
          </w:rPr>
          <w:instrText xml:space="preserve"> PAGE   \* MERGEFORMAT </w:instrText>
        </w:r>
        <w:r w:rsidRPr="002A6084">
          <w:rPr>
            <w:sz w:val="20"/>
          </w:rPr>
          <w:fldChar w:fldCharType="separate"/>
        </w:r>
        <w:r w:rsidR="00D97708">
          <w:rPr>
            <w:noProof/>
            <w:sz w:val="20"/>
          </w:rPr>
          <w:t>1</w:t>
        </w:r>
        <w:r w:rsidRPr="002A6084">
          <w:rPr>
            <w:noProof/>
            <w:sz w:val="20"/>
          </w:rPr>
          <w:fldChar w:fldCharType="end"/>
        </w:r>
      </w:p>
    </w:sdtContent>
  </w:sdt>
  <w:p w:rsidR="003E1D0E" w:rsidRDefault="003E1D0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0E" w:rsidRDefault="003E1D0E">
    <w:pPr>
      <w:jc w:val="center"/>
      <w:rPr>
        <w:sz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0E" w:rsidRDefault="003E1D0E">
    <w:pPr>
      <w:framePr w:wrap="around" w:vAnchor="text" w:hAnchor="margin" w:xAlign="center" w:y="1"/>
    </w:pPr>
    <w:r>
      <w:fldChar w:fldCharType="begin"/>
    </w:r>
    <w:r>
      <w:instrText xml:space="preserve">PAGE  </w:instrText>
    </w:r>
    <w:r>
      <w:fldChar w:fldCharType="separate"/>
    </w:r>
    <w:r>
      <w:rPr>
        <w:noProof/>
      </w:rPr>
      <w:t>4</w:t>
    </w:r>
    <w:r>
      <w:fldChar w:fldCharType="end"/>
    </w:r>
  </w:p>
  <w:p w:rsidR="003E1D0E" w:rsidRDefault="003E1D0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0E" w:rsidRDefault="003E1D0E">
    <w:pPr>
      <w:jc w:val="center"/>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D0E" w:rsidRDefault="003E1D0E">
      <w:r>
        <w:separator/>
      </w:r>
    </w:p>
  </w:footnote>
  <w:footnote w:type="continuationSeparator" w:id="0">
    <w:p w:rsidR="003E1D0E" w:rsidRDefault="003E1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0E" w:rsidRDefault="003E1D0E">
    <w:pPr>
      <w:jc w:val="right"/>
      <w:rPr>
        <w:iCs/>
        <w:color w:val="0000FF"/>
      </w:rPr>
    </w:pPr>
    <w:r>
      <w:rPr>
        <w:iCs/>
        <w:color w:val="0000FF"/>
      </w:rPr>
      <w:t>Fa</w:t>
    </w:r>
    <w:r w:rsidRPr="000643CB">
      <w:rPr>
        <w:iCs/>
        <w:color w:val="0000FF"/>
      </w:rPr>
      <w:t xml:space="preserve">cility </w:t>
    </w:r>
    <w:r>
      <w:rPr>
        <w:iCs/>
        <w:color w:val="0000FF"/>
      </w:rPr>
      <w:t>Name</w:t>
    </w:r>
  </w:p>
  <w:p w:rsidR="003E1D0E" w:rsidRDefault="003E1D0E">
    <w:pPr>
      <w:jc w:val="right"/>
      <w:rPr>
        <w:iCs/>
        <w:color w:val="0000FF"/>
      </w:rPr>
    </w:pPr>
    <w:r>
      <w:rPr>
        <w:iCs/>
        <w:noProof/>
        <w:color w:val="0000FF"/>
        <w:sz w:val="20"/>
      </w:rPr>
      <mc:AlternateContent>
        <mc:Choice Requires="wps">
          <w:drawing>
            <wp:anchor distT="0" distB="0" distL="114300" distR="114300" simplePos="0" relativeHeight="251657728" behindDoc="0" locked="0" layoutInCell="1" allowOverlap="1" wp14:anchorId="6B594092" wp14:editId="5A0F14CD">
              <wp:simplePos x="0" y="0"/>
              <wp:positionH relativeFrom="column">
                <wp:posOffset>-62865</wp:posOffset>
              </wp:positionH>
              <wp:positionV relativeFrom="paragraph">
                <wp:posOffset>170180</wp:posOffset>
              </wp:positionV>
              <wp:extent cx="65151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3.4pt" to="508.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XGm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"/>
          </w:pict>
        </mc:Fallback>
      </mc:AlternateContent>
    </w:r>
    <w:r>
      <w:rPr>
        <w:iCs/>
        <w:color w:val="0000FF"/>
      </w:rPr>
      <w:t>Facility #, Project #</w:t>
    </w:r>
  </w:p>
  <w:p w:rsidR="003E1D0E" w:rsidRDefault="003E1D0E">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D0E" w:rsidRDefault="003E1D0E" w:rsidP="00C632AF">
    <w:pPr>
      <w:jc w:val="right"/>
      <w:rPr>
        <w:iCs/>
        <w:color w:val="0000FF"/>
      </w:rPr>
    </w:pPr>
    <w:r>
      <w:rPr>
        <w:iCs/>
        <w:color w:val="0000FF"/>
      </w:rPr>
      <w:t>Facility Name</w:t>
    </w:r>
  </w:p>
  <w:p w:rsidR="003E1D0E" w:rsidRDefault="003E1D0E" w:rsidP="00C632AF">
    <w:pPr>
      <w:jc w:val="right"/>
      <w:rPr>
        <w:iCs/>
        <w:color w:val="0000FF"/>
      </w:rPr>
    </w:pPr>
    <w:r w:rsidRPr="00D266D5">
      <w:rPr>
        <w:iCs/>
        <w:noProof/>
        <w:color w:val="0000FF"/>
        <w:sz w:val="20"/>
      </w:rPr>
      <mc:AlternateContent>
        <mc:Choice Requires="wps">
          <w:drawing>
            <wp:anchor distT="0" distB="0" distL="114300" distR="114300" simplePos="0" relativeHeight="251659776" behindDoc="0" locked="0" layoutInCell="1" allowOverlap="1" wp14:anchorId="0F9DEEBE" wp14:editId="38DCA293">
              <wp:simplePos x="0" y="0"/>
              <wp:positionH relativeFrom="column">
                <wp:posOffset>-62865</wp:posOffset>
              </wp:positionH>
              <wp:positionV relativeFrom="paragraph">
                <wp:posOffset>170180</wp:posOffset>
              </wp:positionV>
              <wp:extent cx="651510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3.4pt" to="508.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HyEw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"/>
          </w:pict>
        </mc:Fallback>
      </mc:AlternateContent>
    </w:r>
    <w:r>
      <w:rPr>
        <w:iCs/>
        <w:color w:val="0000FF"/>
      </w:rPr>
      <w:t>Facility #, Project #</w:t>
    </w:r>
  </w:p>
  <w:p w:rsidR="003E1D0E" w:rsidRDefault="003E1D0E">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5BFE"/>
    <w:multiLevelType w:val="hybridMultilevel"/>
    <w:tmpl w:val="BB9E4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3D7A67"/>
    <w:multiLevelType w:val="hybridMultilevel"/>
    <w:tmpl w:val="D81A0EF4"/>
    <w:lvl w:ilvl="0" w:tplc="A430777C">
      <w:start w:val="8"/>
      <w:numFmt w:val="decimal"/>
      <w:lvlText w:val="%1."/>
      <w:lvlJc w:val="left"/>
      <w:pPr>
        <w:tabs>
          <w:tab w:val="num" w:pos="1260"/>
        </w:tabs>
        <w:ind w:left="1260" w:hanging="360"/>
      </w:pPr>
      <w:rPr>
        <w:rFonts w:hint="default"/>
      </w:rPr>
    </w:lvl>
    <w:lvl w:ilvl="1" w:tplc="1006F6D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nsid w:val="10013C24"/>
    <w:multiLevelType w:val="hybridMultilevel"/>
    <w:tmpl w:val="4D8A0D4A"/>
    <w:lvl w:ilvl="0" w:tplc="2FFE8240">
      <w:start w:val="3"/>
      <w:numFmt w:val="bullet"/>
      <w:lvlText w:val="-"/>
      <w:lvlJc w:val="left"/>
      <w:pPr>
        <w:tabs>
          <w:tab w:val="num" w:pos="1710"/>
        </w:tabs>
        <w:ind w:left="1710" w:hanging="360"/>
      </w:pPr>
      <w:rPr>
        <w:rFonts w:ascii="Times New Roman" w:eastAsia="Times New Roman" w:hAnsi="Times New Roman" w:cs="Times New Roman"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3">
    <w:nsid w:val="1CD66968"/>
    <w:multiLevelType w:val="hybridMultilevel"/>
    <w:tmpl w:val="27E614E2"/>
    <w:lvl w:ilvl="0" w:tplc="9DE6ED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FD43492"/>
    <w:multiLevelType w:val="hybridMultilevel"/>
    <w:tmpl w:val="B394BFDE"/>
    <w:lvl w:ilvl="0" w:tplc="9DE6ED0A">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AC90A3F"/>
    <w:multiLevelType w:val="hybridMultilevel"/>
    <w:tmpl w:val="A1C0E48C"/>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nsid w:val="2ED97347"/>
    <w:multiLevelType w:val="hybridMultilevel"/>
    <w:tmpl w:val="7E52B2C6"/>
    <w:lvl w:ilvl="0" w:tplc="9DE6ED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nsid w:val="31AB25DA"/>
    <w:multiLevelType w:val="hybridMultilevel"/>
    <w:tmpl w:val="CCBE0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F63E56"/>
    <w:multiLevelType w:val="hybridMultilevel"/>
    <w:tmpl w:val="82A0BB7C"/>
    <w:lvl w:ilvl="0" w:tplc="04090015">
      <w:start w:val="1"/>
      <w:numFmt w:val="upperLetter"/>
      <w:lvlText w:val="%1."/>
      <w:lvlJc w:val="left"/>
      <w:pPr>
        <w:ind w:left="1440" w:hanging="360"/>
      </w:pPr>
      <w:rPr>
        <w:rFonts w:hint="default"/>
      </w:rPr>
    </w:lvl>
    <w:lvl w:ilvl="1" w:tplc="04090017">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1E55339"/>
    <w:multiLevelType w:val="hybridMultilevel"/>
    <w:tmpl w:val="DF2AC95A"/>
    <w:lvl w:ilvl="0" w:tplc="9DE6ED0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63283AF7"/>
    <w:multiLevelType w:val="hybridMultilevel"/>
    <w:tmpl w:val="CD6AD5B0"/>
    <w:lvl w:ilvl="0" w:tplc="9DE6ED0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4E6056F"/>
    <w:multiLevelType w:val="multilevel"/>
    <w:tmpl w:val="1BA86F4E"/>
    <w:lvl w:ilvl="0">
      <w:start w:val="1"/>
      <w:numFmt w:val="upperRoman"/>
      <w:pStyle w:val="Heading1"/>
      <w:suff w:val="nothing"/>
      <w:lvlText w:val="%1.  "/>
      <w:lvlJc w:val="left"/>
      <w:pPr>
        <w:ind w:left="0" w:firstLine="0"/>
      </w:pPr>
      <w:rPr>
        <w:rFonts w:hint="default"/>
      </w:rPr>
    </w:lvl>
    <w:lvl w:ilvl="1">
      <w:start w:val="1"/>
      <w:numFmt w:val="upperLetter"/>
      <w:pStyle w:val="Heading2"/>
      <w:suff w:val="nothing"/>
      <w:lvlText w:val="%2.  "/>
      <w:lvlJc w:val="left"/>
      <w:pPr>
        <w:ind w:left="360" w:firstLine="0"/>
      </w:pPr>
      <w:rPr>
        <w:rFonts w:hint="default"/>
      </w:rPr>
    </w:lvl>
    <w:lvl w:ilvl="2">
      <w:start w:val="1"/>
      <w:numFmt w:val="decimal"/>
      <w:pStyle w:val="Heading3"/>
      <w:suff w:val="nothing"/>
      <w:lvlText w:val="%3.   "/>
      <w:lvlJc w:val="left"/>
      <w:pPr>
        <w:ind w:left="900" w:firstLine="0"/>
      </w:pPr>
      <w:rPr>
        <w:rFonts w:hint="default"/>
      </w:rPr>
    </w:lvl>
    <w:lvl w:ilvl="3">
      <w:start w:val="1"/>
      <w:numFmt w:val="lowerLetter"/>
      <w:pStyle w:val="Heading4"/>
      <w:suff w:val="nothing"/>
      <w:lvlText w:val="%4)  "/>
      <w:lvlJc w:val="left"/>
      <w:pPr>
        <w:ind w:left="1080" w:firstLine="0"/>
      </w:pPr>
      <w:rPr>
        <w:rFonts w:hint="default"/>
      </w:rPr>
    </w:lvl>
    <w:lvl w:ilvl="4">
      <w:start w:val="1"/>
      <w:numFmt w:val="decimal"/>
      <w:pStyle w:val="Heading5"/>
      <w:lvlText w:val="(%5)"/>
      <w:lvlJc w:val="left"/>
      <w:pPr>
        <w:tabs>
          <w:tab w:val="num" w:pos="1800"/>
        </w:tabs>
        <w:ind w:left="1440" w:firstLine="0"/>
      </w:pPr>
      <w:rPr>
        <w:rFonts w:hint="default"/>
      </w:rPr>
    </w:lvl>
    <w:lvl w:ilvl="5">
      <w:start w:val="1"/>
      <w:numFmt w:val="lowerLetter"/>
      <w:pStyle w:val="Heading6"/>
      <w:lvlText w:val="(%6)"/>
      <w:lvlJc w:val="left"/>
      <w:pPr>
        <w:tabs>
          <w:tab w:val="num" w:pos="2160"/>
        </w:tabs>
        <w:ind w:left="18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480"/>
        </w:tabs>
        <w:ind w:left="5760" w:firstLine="0"/>
      </w:pPr>
      <w:rPr>
        <w:rFonts w:hint="default"/>
      </w:rPr>
    </w:lvl>
  </w:abstractNum>
  <w:abstractNum w:abstractNumId="12">
    <w:nsid w:val="65496792"/>
    <w:multiLevelType w:val="hybridMultilevel"/>
    <w:tmpl w:val="1004B9DC"/>
    <w:lvl w:ilvl="0" w:tplc="7158D6B2">
      <w:start w:val="1"/>
      <w:numFmt w:val="lowerLetter"/>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nsid w:val="723226AD"/>
    <w:multiLevelType w:val="hybridMultilevel"/>
    <w:tmpl w:val="F60CB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91872B7"/>
    <w:multiLevelType w:val="hybridMultilevel"/>
    <w:tmpl w:val="2B2C8222"/>
    <w:lvl w:ilvl="0" w:tplc="9DE6ED0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7C93760E"/>
    <w:multiLevelType w:val="singleLevel"/>
    <w:tmpl w:val="09903E16"/>
    <w:lvl w:ilvl="0">
      <w:start w:val="3"/>
      <w:numFmt w:val="upperLetter"/>
      <w:pStyle w:val="Heading8"/>
      <w:lvlText w:val=""/>
      <w:lvlJc w:val="left"/>
      <w:pPr>
        <w:tabs>
          <w:tab w:val="num" w:pos="1080"/>
        </w:tabs>
        <w:ind w:left="1080" w:hanging="360"/>
      </w:pPr>
      <w:rPr>
        <w:rFonts w:ascii="Times New Roman" w:hAnsi="Times New Roman" w:hint="default"/>
      </w:rPr>
    </w:lvl>
  </w:abstractNum>
  <w:num w:numId="1">
    <w:abstractNumId w:val="2"/>
  </w:num>
  <w:num w:numId="2">
    <w:abstractNumId w:val="1"/>
  </w:num>
  <w:num w:numId="3">
    <w:abstractNumId w:val="12"/>
  </w:num>
  <w:num w:numId="4">
    <w:abstractNumId w:val="11"/>
  </w:num>
  <w:num w:numId="5">
    <w:abstractNumId w:val="11"/>
  </w:num>
  <w:num w:numId="6">
    <w:abstractNumId w:val="15"/>
  </w:num>
  <w:num w:numId="7">
    <w:abstractNumId w:val="6"/>
  </w:num>
  <w:num w:numId="8">
    <w:abstractNumId w:val="10"/>
  </w:num>
  <w:num w:numId="9">
    <w:abstractNumId w:val="3"/>
  </w:num>
  <w:num w:numId="10">
    <w:abstractNumId w:val="9"/>
  </w:num>
  <w:num w:numId="11">
    <w:abstractNumId w:val="14"/>
  </w:num>
  <w:num w:numId="12">
    <w:abstractNumId w:val="4"/>
  </w:num>
  <w:num w:numId="13">
    <w:abstractNumId w:val="13"/>
  </w:num>
  <w:num w:numId="14">
    <w:abstractNumId w:val="7"/>
  </w:num>
  <w:num w:numId="15">
    <w:abstractNumId w:val="0"/>
  </w:num>
  <w:num w:numId="16">
    <w:abstractNumId w:val="8"/>
  </w:num>
  <w:num w:numId="17">
    <w:abstractNumId w:val="5"/>
  </w:num>
  <w:num w:numId="18">
    <w:abstractNumId w:val="11"/>
  </w:num>
  <w:num w:numId="19">
    <w:abstractNumId w:val="11"/>
    <w:lvlOverride w:ilvl="0">
      <w:startOverride w:val="7"/>
    </w:lvlOverride>
    <w:lvlOverride w:ilvl="1">
      <w:startOverride w:val="3"/>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5CB"/>
    <w:rsid w:val="000643CB"/>
    <w:rsid w:val="00073999"/>
    <w:rsid w:val="000F5643"/>
    <w:rsid w:val="00113C80"/>
    <w:rsid w:val="001A3C4B"/>
    <w:rsid w:val="001A7F10"/>
    <w:rsid w:val="001C5176"/>
    <w:rsid w:val="00243DAF"/>
    <w:rsid w:val="002A558C"/>
    <w:rsid w:val="002A6084"/>
    <w:rsid w:val="002C3744"/>
    <w:rsid w:val="002D57CE"/>
    <w:rsid w:val="002E30C5"/>
    <w:rsid w:val="002F1A29"/>
    <w:rsid w:val="00311C90"/>
    <w:rsid w:val="0032337B"/>
    <w:rsid w:val="003624AC"/>
    <w:rsid w:val="00385A76"/>
    <w:rsid w:val="003D1DD9"/>
    <w:rsid w:val="003E1D0E"/>
    <w:rsid w:val="003E4484"/>
    <w:rsid w:val="0040122A"/>
    <w:rsid w:val="004E7109"/>
    <w:rsid w:val="00503880"/>
    <w:rsid w:val="00535FD3"/>
    <w:rsid w:val="005425CB"/>
    <w:rsid w:val="0058168B"/>
    <w:rsid w:val="005A1C1E"/>
    <w:rsid w:val="00620C1A"/>
    <w:rsid w:val="006B757E"/>
    <w:rsid w:val="006D71BA"/>
    <w:rsid w:val="006E416D"/>
    <w:rsid w:val="00704C63"/>
    <w:rsid w:val="00712846"/>
    <w:rsid w:val="007379AA"/>
    <w:rsid w:val="00790A00"/>
    <w:rsid w:val="007C7DA4"/>
    <w:rsid w:val="007D02F1"/>
    <w:rsid w:val="007F6B5F"/>
    <w:rsid w:val="008B1712"/>
    <w:rsid w:val="008D1090"/>
    <w:rsid w:val="008E48CE"/>
    <w:rsid w:val="008E50A2"/>
    <w:rsid w:val="008F225D"/>
    <w:rsid w:val="008F57D9"/>
    <w:rsid w:val="009247F2"/>
    <w:rsid w:val="00925DA0"/>
    <w:rsid w:val="00967AF9"/>
    <w:rsid w:val="0098615E"/>
    <w:rsid w:val="009D1A8A"/>
    <w:rsid w:val="009E5856"/>
    <w:rsid w:val="00A15467"/>
    <w:rsid w:val="00A34FC2"/>
    <w:rsid w:val="00A422F0"/>
    <w:rsid w:val="00A74007"/>
    <w:rsid w:val="00A75690"/>
    <w:rsid w:val="00AC27B3"/>
    <w:rsid w:val="00B127EE"/>
    <w:rsid w:val="00B30E2F"/>
    <w:rsid w:val="00B8778B"/>
    <w:rsid w:val="00BE5DDD"/>
    <w:rsid w:val="00C11684"/>
    <w:rsid w:val="00C24613"/>
    <w:rsid w:val="00C33D00"/>
    <w:rsid w:val="00C342F1"/>
    <w:rsid w:val="00C632AF"/>
    <w:rsid w:val="00CA4D15"/>
    <w:rsid w:val="00CF4B28"/>
    <w:rsid w:val="00D266D5"/>
    <w:rsid w:val="00D917EC"/>
    <w:rsid w:val="00D97708"/>
    <w:rsid w:val="00DB028D"/>
    <w:rsid w:val="00DB3914"/>
    <w:rsid w:val="00DB5DB6"/>
    <w:rsid w:val="00DE5893"/>
    <w:rsid w:val="00DE6BCD"/>
    <w:rsid w:val="00E767BC"/>
    <w:rsid w:val="00EE39D6"/>
    <w:rsid w:val="00F400A7"/>
    <w:rsid w:val="00F675F8"/>
    <w:rsid w:val="00F82A0B"/>
    <w:rsid w:val="00FE5A62"/>
    <w:rsid w:val="00FF1344"/>
    <w:rsid w:val="00FF1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numPr>
        <w:numId w:val="5"/>
      </w:numPr>
      <w:suppressAutoHyphens/>
      <w:outlineLvl w:val="0"/>
    </w:pPr>
    <w:rPr>
      <w:b/>
    </w:rPr>
  </w:style>
  <w:style w:type="paragraph" w:styleId="Heading2">
    <w:name w:val="heading 2"/>
    <w:basedOn w:val="Normal"/>
    <w:next w:val="Normal"/>
    <w:qFormat/>
    <w:pPr>
      <w:keepNext/>
      <w:numPr>
        <w:ilvl w:val="1"/>
        <w:numId w:val="5"/>
      </w:numPr>
      <w:tabs>
        <w:tab w:val="right" w:pos="8640"/>
      </w:tabs>
      <w:suppressAutoHyphens/>
      <w:outlineLvl w:val="1"/>
    </w:pPr>
    <w:rPr>
      <w:b/>
    </w:rPr>
  </w:style>
  <w:style w:type="paragraph" w:styleId="Heading3">
    <w:name w:val="heading 3"/>
    <w:basedOn w:val="Normal"/>
    <w:next w:val="Normal"/>
    <w:qFormat/>
    <w:pPr>
      <w:keepNext/>
      <w:numPr>
        <w:ilvl w:val="2"/>
        <w:numId w:val="5"/>
      </w:numPr>
      <w:suppressAutoHyphens/>
      <w:outlineLvl w:val="2"/>
    </w:pPr>
    <w:rPr>
      <w:b/>
    </w:rPr>
  </w:style>
  <w:style w:type="paragraph" w:styleId="Heading4">
    <w:name w:val="heading 4"/>
    <w:basedOn w:val="Normal"/>
    <w:next w:val="Normal"/>
    <w:qFormat/>
    <w:pPr>
      <w:keepNext/>
      <w:numPr>
        <w:ilvl w:val="3"/>
        <w:numId w:val="5"/>
      </w:numPr>
      <w:suppressAutoHyphens/>
      <w:outlineLvl w:val="3"/>
    </w:pPr>
    <w:rPr>
      <w:b/>
    </w:rPr>
  </w:style>
  <w:style w:type="paragraph" w:styleId="Heading5">
    <w:name w:val="heading 5"/>
    <w:basedOn w:val="Normal"/>
    <w:next w:val="Normal"/>
    <w:qFormat/>
    <w:pPr>
      <w:keepNext/>
      <w:numPr>
        <w:ilvl w:val="4"/>
        <w:numId w:val="5"/>
      </w:numPr>
      <w:suppressAutoHyphens/>
      <w:jc w:val="both"/>
      <w:outlineLvl w:val="4"/>
    </w:pPr>
    <w:rPr>
      <w:b/>
      <w:spacing w:val="-3"/>
    </w:rPr>
  </w:style>
  <w:style w:type="paragraph" w:styleId="Heading6">
    <w:name w:val="heading 6"/>
    <w:basedOn w:val="Normal"/>
    <w:next w:val="Normal"/>
    <w:qFormat/>
    <w:pPr>
      <w:keepNext/>
      <w:numPr>
        <w:ilvl w:val="5"/>
        <w:numId w:val="5"/>
      </w:numPr>
      <w:suppressAutoHyphens/>
      <w:jc w:val="both"/>
      <w:outlineLvl w:val="5"/>
    </w:pPr>
    <w:rPr>
      <w:b/>
      <w:spacing w:val="-3"/>
    </w:rPr>
  </w:style>
  <w:style w:type="paragraph" w:styleId="Heading7">
    <w:name w:val="heading 7"/>
    <w:basedOn w:val="Normal"/>
    <w:next w:val="Normal"/>
    <w:qFormat/>
    <w:pPr>
      <w:keepNext/>
      <w:ind w:left="720"/>
      <w:outlineLvl w:val="6"/>
    </w:pPr>
    <w:rPr>
      <w:b/>
    </w:rPr>
  </w:style>
  <w:style w:type="paragraph" w:styleId="Heading8">
    <w:name w:val="heading 8"/>
    <w:basedOn w:val="Normal"/>
    <w:next w:val="Normal"/>
    <w:qFormat/>
    <w:pPr>
      <w:keepNext/>
      <w:numPr>
        <w:numId w:val="6"/>
      </w:numPr>
      <w:tabs>
        <w:tab w:val="clear" w:pos="1080"/>
      </w:tabs>
      <w:suppressAutoHyphens/>
      <w:ind w:firstLine="0"/>
      <w:jc w:val="both"/>
      <w:outlineLvl w:val="7"/>
    </w:pPr>
    <w:rPr>
      <w:b/>
      <w:spacing w:val="-3"/>
    </w:rPr>
  </w:style>
  <w:style w:type="paragraph" w:styleId="Heading9">
    <w:name w:val="heading 9"/>
    <w:basedOn w:val="Normal"/>
    <w:next w:val="Normal"/>
    <w:qFormat/>
    <w:pPr>
      <w:keepNext/>
      <w:suppressAutoHyphens/>
      <w:ind w:left="1440"/>
      <w:jc w:val="both"/>
      <w:outlineLvl w:val="8"/>
    </w:pPr>
    <w:rPr>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60"/>
    </w:pPr>
    <w:rPr>
      <w:rFonts w:ascii="Times New Roman" w:hAnsi="Times New Roman"/>
      <w:sz w:val="20"/>
    </w:rPr>
  </w:style>
  <w:style w:type="paragraph" w:styleId="BodyText2">
    <w:name w:val="Body Text 2"/>
    <w:basedOn w:val="Normal"/>
    <w:pPr>
      <w:suppressAutoHyphens/>
      <w:spacing w:before="90"/>
      <w:jc w:val="center"/>
    </w:pPr>
    <w:rPr>
      <w:spacing w:val="-3"/>
    </w:rPr>
  </w:style>
  <w:style w:type="paragraph" w:styleId="BodyText3">
    <w:name w:val="Body Text 3"/>
    <w:basedOn w:val="Normal"/>
    <w:pPr>
      <w:suppressAutoHyphens/>
      <w:jc w:val="both"/>
    </w:pPr>
    <w:rPr>
      <w:spacing w:val="-3"/>
    </w:rPr>
  </w:style>
  <w:style w:type="paragraph" w:styleId="BodyTextIndent">
    <w:name w:val="Body Text Indent"/>
    <w:basedOn w:val="Normal"/>
    <w:pPr>
      <w:suppressAutoHyphens/>
      <w:ind w:left="720"/>
      <w:jc w:val="both"/>
    </w:pPr>
    <w:rPr>
      <w:spacing w:val="-3"/>
    </w:rPr>
  </w:style>
  <w:style w:type="paragraph" w:styleId="BodyTextIndent2">
    <w:name w:val="Body Text Indent 2"/>
    <w:basedOn w:val="Normal"/>
    <w:pPr>
      <w:ind w:left="1440"/>
    </w:pPr>
    <w:rPr>
      <w:snapToGrid w:val="0"/>
    </w:rPr>
  </w:style>
  <w:style w:type="paragraph" w:styleId="BodyTextIndent3">
    <w:name w:val="Body Text Indent 3"/>
    <w:basedOn w:val="Normal"/>
    <w:pPr>
      <w:suppressAutoHyphens/>
      <w:ind w:left="1440"/>
      <w:jc w:val="both"/>
    </w:pPr>
    <w:rPr>
      <w:spacing w:val="-3"/>
    </w:rPr>
  </w:style>
  <w:style w:type="paragraph" w:styleId="Caption">
    <w:name w:val="caption"/>
    <w:basedOn w:val="Normal"/>
    <w:next w:val="Normal"/>
    <w:qFormat/>
    <w:pPr>
      <w:suppressAutoHyphens/>
      <w:ind w:left="1440"/>
      <w:jc w:val="both"/>
    </w:pPr>
    <w:rPr>
      <w:b/>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character" w:customStyle="1" w:styleId="emailstyle15">
    <w:name w:val="emailstyle15"/>
    <w:basedOn w:val="DefaultParagraphFont"/>
    <w:rPr>
      <w:rFonts w:ascii="Arial" w:hAnsi="Arial" w:cs="Arial"/>
      <w:color w:val="000000"/>
      <w:sz w:val="20"/>
    </w:rPr>
  </w:style>
  <w:style w:type="paragraph" w:styleId="EndnoteText">
    <w:name w:val="endnote text"/>
    <w:basedOn w:val="Normal"/>
    <w:semiHidden/>
    <w:rPr>
      <w:spacing w:val="-3"/>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rFonts w:ascii="Courier" w:hAnsi="Courier"/>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Text1">
    <w:name w:val="Text 1"/>
    <w:basedOn w:val="Heading1"/>
    <w:pPr>
      <w:keepNext w:val="0"/>
      <w:widowControl w:val="0"/>
      <w:numPr>
        <w:numId w:val="0"/>
      </w:numPr>
      <w:suppressAutoHyphens w:val="0"/>
      <w:spacing w:before="120" w:after="120"/>
      <w:ind w:left="432"/>
      <w:jc w:val="both"/>
      <w:outlineLvl w:val="9"/>
    </w:pPr>
    <w:rPr>
      <w:rFonts w:cs="Arial"/>
      <w:bCs/>
      <w:snapToGrid w:val="0"/>
      <w:kern w:val="32"/>
      <w:sz w:val="22"/>
      <w:szCs w:val="32"/>
    </w:rPr>
  </w:style>
  <w:style w:type="paragraph" w:styleId="Title">
    <w:name w:val="Title"/>
    <w:basedOn w:val="Normal"/>
    <w:qFormat/>
    <w:pPr>
      <w:suppressAutoHyphens/>
      <w:jc w:val="center"/>
    </w:pPr>
    <w:rPr>
      <w:b/>
      <w:spacing w:val="-3"/>
      <w:sz w:val="32"/>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5425CB"/>
    <w:rPr>
      <w:color w:val="0000FF"/>
      <w:u w:val="single"/>
    </w:rPr>
  </w:style>
  <w:style w:type="table" w:styleId="TableGrid">
    <w:name w:val="Table Grid"/>
    <w:basedOn w:val="TableNormal"/>
    <w:rsid w:val="00113C8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DB3914"/>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numPr>
        <w:numId w:val="5"/>
      </w:numPr>
      <w:suppressAutoHyphens/>
      <w:outlineLvl w:val="0"/>
    </w:pPr>
    <w:rPr>
      <w:b/>
    </w:rPr>
  </w:style>
  <w:style w:type="paragraph" w:styleId="Heading2">
    <w:name w:val="heading 2"/>
    <w:basedOn w:val="Normal"/>
    <w:next w:val="Normal"/>
    <w:qFormat/>
    <w:pPr>
      <w:keepNext/>
      <w:numPr>
        <w:ilvl w:val="1"/>
        <w:numId w:val="5"/>
      </w:numPr>
      <w:tabs>
        <w:tab w:val="right" w:pos="8640"/>
      </w:tabs>
      <w:suppressAutoHyphens/>
      <w:outlineLvl w:val="1"/>
    </w:pPr>
    <w:rPr>
      <w:b/>
    </w:rPr>
  </w:style>
  <w:style w:type="paragraph" w:styleId="Heading3">
    <w:name w:val="heading 3"/>
    <w:basedOn w:val="Normal"/>
    <w:next w:val="Normal"/>
    <w:qFormat/>
    <w:pPr>
      <w:keepNext/>
      <w:numPr>
        <w:ilvl w:val="2"/>
        <w:numId w:val="5"/>
      </w:numPr>
      <w:suppressAutoHyphens/>
      <w:outlineLvl w:val="2"/>
    </w:pPr>
    <w:rPr>
      <w:b/>
    </w:rPr>
  </w:style>
  <w:style w:type="paragraph" w:styleId="Heading4">
    <w:name w:val="heading 4"/>
    <w:basedOn w:val="Normal"/>
    <w:next w:val="Normal"/>
    <w:qFormat/>
    <w:pPr>
      <w:keepNext/>
      <w:numPr>
        <w:ilvl w:val="3"/>
        <w:numId w:val="5"/>
      </w:numPr>
      <w:suppressAutoHyphens/>
      <w:outlineLvl w:val="3"/>
    </w:pPr>
    <w:rPr>
      <w:b/>
    </w:rPr>
  </w:style>
  <w:style w:type="paragraph" w:styleId="Heading5">
    <w:name w:val="heading 5"/>
    <w:basedOn w:val="Normal"/>
    <w:next w:val="Normal"/>
    <w:qFormat/>
    <w:pPr>
      <w:keepNext/>
      <w:numPr>
        <w:ilvl w:val="4"/>
        <w:numId w:val="5"/>
      </w:numPr>
      <w:suppressAutoHyphens/>
      <w:jc w:val="both"/>
      <w:outlineLvl w:val="4"/>
    </w:pPr>
    <w:rPr>
      <w:b/>
      <w:spacing w:val="-3"/>
    </w:rPr>
  </w:style>
  <w:style w:type="paragraph" w:styleId="Heading6">
    <w:name w:val="heading 6"/>
    <w:basedOn w:val="Normal"/>
    <w:next w:val="Normal"/>
    <w:qFormat/>
    <w:pPr>
      <w:keepNext/>
      <w:numPr>
        <w:ilvl w:val="5"/>
        <w:numId w:val="5"/>
      </w:numPr>
      <w:suppressAutoHyphens/>
      <w:jc w:val="both"/>
      <w:outlineLvl w:val="5"/>
    </w:pPr>
    <w:rPr>
      <w:b/>
      <w:spacing w:val="-3"/>
    </w:rPr>
  </w:style>
  <w:style w:type="paragraph" w:styleId="Heading7">
    <w:name w:val="heading 7"/>
    <w:basedOn w:val="Normal"/>
    <w:next w:val="Normal"/>
    <w:qFormat/>
    <w:pPr>
      <w:keepNext/>
      <w:ind w:left="720"/>
      <w:outlineLvl w:val="6"/>
    </w:pPr>
    <w:rPr>
      <w:b/>
    </w:rPr>
  </w:style>
  <w:style w:type="paragraph" w:styleId="Heading8">
    <w:name w:val="heading 8"/>
    <w:basedOn w:val="Normal"/>
    <w:next w:val="Normal"/>
    <w:qFormat/>
    <w:pPr>
      <w:keepNext/>
      <w:numPr>
        <w:numId w:val="6"/>
      </w:numPr>
      <w:tabs>
        <w:tab w:val="clear" w:pos="1080"/>
      </w:tabs>
      <w:suppressAutoHyphens/>
      <w:ind w:firstLine="0"/>
      <w:jc w:val="both"/>
      <w:outlineLvl w:val="7"/>
    </w:pPr>
    <w:rPr>
      <w:b/>
      <w:spacing w:val="-3"/>
    </w:rPr>
  </w:style>
  <w:style w:type="paragraph" w:styleId="Heading9">
    <w:name w:val="heading 9"/>
    <w:basedOn w:val="Normal"/>
    <w:next w:val="Normal"/>
    <w:qFormat/>
    <w:pPr>
      <w:keepNext/>
      <w:suppressAutoHyphens/>
      <w:ind w:left="1440"/>
      <w:jc w:val="both"/>
      <w:outlineLvl w:val="8"/>
    </w:pPr>
    <w:rPr>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60"/>
    </w:pPr>
    <w:rPr>
      <w:rFonts w:ascii="Times New Roman" w:hAnsi="Times New Roman"/>
      <w:sz w:val="20"/>
    </w:rPr>
  </w:style>
  <w:style w:type="paragraph" w:styleId="BodyText2">
    <w:name w:val="Body Text 2"/>
    <w:basedOn w:val="Normal"/>
    <w:pPr>
      <w:suppressAutoHyphens/>
      <w:spacing w:before="90"/>
      <w:jc w:val="center"/>
    </w:pPr>
    <w:rPr>
      <w:spacing w:val="-3"/>
    </w:rPr>
  </w:style>
  <w:style w:type="paragraph" w:styleId="BodyText3">
    <w:name w:val="Body Text 3"/>
    <w:basedOn w:val="Normal"/>
    <w:pPr>
      <w:suppressAutoHyphens/>
      <w:jc w:val="both"/>
    </w:pPr>
    <w:rPr>
      <w:spacing w:val="-3"/>
    </w:rPr>
  </w:style>
  <w:style w:type="paragraph" w:styleId="BodyTextIndent">
    <w:name w:val="Body Text Indent"/>
    <w:basedOn w:val="Normal"/>
    <w:pPr>
      <w:suppressAutoHyphens/>
      <w:ind w:left="720"/>
      <w:jc w:val="both"/>
    </w:pPr>
    <w:rPr>
      <w:spacing w:val="-3"/>
    </w:rPr>
  </w:style>
  <w:style w:type="paragraph" w:styleId="BodyTextIndent2">
    <w:name w:val="Body Text Indent 2"/>
    <w:basedOn w:val="Normal"/>
    <w:pPr>
      <w:ind w:left="1440"/>
    </w:pPr>
    <w:rPr>
      <w:snapToGrid w:val="0"/>
    </w:rPr>
  </w:style>
  <w:style w:type="paragraph" w:styleId="BodyTextIndent3">
    <w:name w:val="Body Text Indent 3"/>
    <w:basedOn w:val="Normal"/>
    <w:pPr>
      <w:suppressAutoHyphens/>
      <w:ind w:left="1440"/>
      <w:jc w:val="both"/>
    </w:pPr>
    <w:rPr>
      <w:spacing w:val="-3"/>
    </w:rPr>
  </w:style>
  <w:style w:type="paragraph" w:styleId="Caption">
    <w:name w:val="caption"/>
    <w:basedOn w:val="Normal"/>
    <w:next w:val="Normal"/>
    <w:qFormat/>
    <w:pPr>
      <w:suppressAutoHyphens/>
      <w:ind w:left="1440"/>
      <w:jc w:val="both"/>
    </w:pPr>
    <w:rPr>
      <w:b/>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character" w:customStyle="1" w:styleId="emailstyle15">
    <w:name w:val="emailstyle15"/>
    <w:basedOn w:val="DefaultParagraphFont"/>
    <w:rPr>
      <w:rFonts w:ascii="Arial" w:hAnsi="Arial" w:cs="Arial"/>
      <w:color w:val="000000"/>
      <w:sz w:val="20"/>
    </w:rPr>
  </w:style>
  <w:style w:type="paragraph" w:styleId="EndnoteText">
    <w:name w:val="endnote text"/>
    <w:basedOn w:val="Normal"/>
    <w:semiHidden/>
    <w:rPr>
      <w:spacing w:val="-3"/>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rFonts w:ascii="Courier" w:hAnsi="Courier"/>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Text1">
    <w:name w:val="Text 1"/>
    <w:basedOn w:val="Heading1"/>
    <w:pPr>
      <w:keepNext w:val="0"/>
      <w:widowControl w:val="0"/>
      <w:numPr>
        <w:numId w:val="0"/>
      </w:numPr>
      <w:suppressAutoHyphens w:val="0"/>
      <w:spacing w:before="120" w:after="120"/>
      <w:ind w:left="432"/>
      <w:jc w:val="both"/>
      <w:outlineLvl w:val="9"/>
    </w:pPr>
    <w:rPr>
      <w:rFonts w:cs="Arial"/>
      <w:bCs/>
      <w:snapToGrid w:val="0"/>
      <w:kern w:val="32"/>
      <w:sz w:val="22"/>
      <w:szCs w:val="32"/>
    </w:rPr>
  </w:style>
  <w:style w:type="paragraph" w:styleId="Title">
    <w:name w:val="Title"/>
    <w:basedOn w:val="Normal"/>
    <w:qFormat/>
    <w:pPr>
      <w:suppressAutoHyphens/>
      <w:jc w:val="center"/>
    </w:pPr>
    <w:rPr>
      <w:b/>
      <w:spacing w:val="-3"/>
      <w:sz w:val="32"/>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5425CB"/>
    <w:rPr>
      <w:color w:val="0000FF"/>
      <w:u w:val="single"/>
    </w:rPr>
  </w:style>
  <w:style w:type="table" w:styleId="TableGrid">
    <w:name w:val="Table Grid"/>
    <w:basedOn w:val="TableNormal"/>
    <w:rsid w:val="00113C8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DB391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214952">
      <w:bodyDiv w:val="1"/>
      <w:marLeft w:val="0"/>
      <w:marRight w:val="0"/>
      <w:marTop w:val="0"/>
      <w:marBottom w:val="0"/>
      <w:divBdr>
        <w:top w:val="none" w:sz="0" w:space="0" w:color="auto"/>
        <w:left w:val="none" w:sz="0" w:space="0" w:color="auto"/>
        <w:bottom w:val="none" w:sz="0" w:space="0" w:color="auto"/>
        <w:right w:val="none" w:sz="0" w:space="0" w:color="auto"/>
      </w:divBdr>
      <w:divsChild>
        <w:div w:id="501168547">
          <w:marLeft w:val="0"/>
          <w:marRight w:val="0"/>
          <w:marTop w:val="0"/>
          <w:marBottom w:val="0"/>
          <w:divBdr>
            <w:top w:val="none" w:sz="0" w:space="0" w:color="auto"/>
            <w:left w:val="none" w:sz="0" w:space="0" w:color="auto"/>
            <w:bottom w:val="none" w:sz="0" w:space="0" w:color="auto"/>
            <w:right w:val="none" w:sz="0" w:space="0" w:color="auto"/>
          </w:divBdr>
          <w:divsChild>
            <w:div w:id="791902461">
              <w:marLeft w:val="0"/>
              <w:marRight w:val="0"/>
              <w:marTop w:val="0"/>
              <w:marBottom w:val="0"/>
              <w:divBdr>
                <w:top w:val="none" w:sz="0" w:space="0" w:color="auto"/>
                <w:left w:val="none" w:sz="0" w:space="0" w:color="auto"/>
                <w:bottom w:val="none" w:sz="0" w:space="0" w:color="auto"/>
                <w:right w:val="none" w:sz="0" w:space="0" w:color="auto"/>
              </w:divBdr>
              <w:divsChild>
                <w:div w:id="132829263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SOUTH1\Shared\Intranet_files\thaoc\shared\Intranet_files\PER\policies\dustyrose\Intranet_files\PER\policies\dustyrose\Intranet_Files\PER\policies\fyi\documents\71%20-%20School%20Notice.doc"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5BF19-9376-4D28-BE48-E67748218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8108</Words>
  <Characters>42881</Characters>
  <Application>Microsoft Office Word</Application>
  <DocSecurity>4</DocSecurity>
  <Lines>357</Lines>
  <Paragraphs>101</Paragraphs>
  <ScaleCrop>false</ScaleCrop>
  <HeadingPairs>
    <vt:vector size="2" baseType="variant">
      <vt:variant>
        <vt:lpstr>Title</vt:lpstr>
      </vt:variant>
      <vt:variant>
        <vt:i4>1</vt:i4>
      </vt:variant>
    </vt:vector>
  </HeadingPairs>
  <TitlesOfParts>
    <vt:vector size="1" baseType="lpstr">
      <vt:lpstr>Authority to Construct</vt:lpstr>
    </vt:vector>
  </TitlesOfParts>
  <Manager>Leonard.Scandura@valleyair.org</Manager>
  <Company>SJVUAPCD</Company>
  <LinksUpToDate>false</LinksUpToDate>
  <CharactersWithSpaces>50888</CharactersWithSpaces>
  <SharedDoc>false</SharedDoc>
  <HLinks>
    <vt:vector size="6" baseType="variant">
      <vt:variant>
        <vt:i4>6815800</vt:i4>
      </vt:variant>
      <vt:variant>
        <vt:i4>30</vt:i4>
      </vt:variant>
      <vt:variant>
        <vt:i4>0</vt:i4>
      </vt:variant>
      <vt:variant>
        <vt:i4>5</vt:i4>
      </vt:variant>
      <vt:variant>
        <vt:lpwstr>../../../../../../Intranet_files/thaoc/shared/Intranet_files/PER/policies/dustyrose/Intranet_files/PER/policies/dustyrose/Intranet_Files/PER/policies/fyi/documents/71 - School Notice.doc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to Construct</dc:title>
  <dc:creator>Chay Thao;Steve.Leonard@valleyair.org</dc:creator>
  <dc:description>updated Mar 2014</dc:description>
  <cp:lastModifiedBy>Anton Simanov</cp:lastModifiedBy>
  <cp:revision>2</cp:revision>
  <cp:lastPrinted>2003-11-13T16:30:00Z</cp:lastPrinted>
  <dcterms:created xsi:type="dcterms:W3CDTF">2014-03-11T18:33:00Z</dcterms:created>
  <dcterms:modified xsi:type="dcterms:W3CDTF">2014-03-11T18:33:00Z</dcterms:modified>
</cp:coreProperties>
</file>