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80C" w:rsidRDefault="0019180C">
      <w:pPr>
        <w:keepNext/>
        <w:autoSpaceDE w:val="0"/>
        <w:autoSpaceDN w:val="0"/>
        <w:adjustRightInd w:val="0"/>
        <w:jc w:val="both"/>
        <w:sectPr w:rsidR="0019180C">
          <w:footerReference w:type="default" r:id="rId9"/>
          <w:pgSz w:w="12240" w:h="15840" w:code="1"/>
          <w:pgMar w:top="994" w:right="1440" w:bottom="1440" w:left="1440" w:header="720" w:footer="806" w:gutter="0"/>
          <w:paperSrc w:first="7" w:other="7"/>
          <w:cols w:space="720"/>
        </w:sectPr>
      </w:pPr>
      <w:bookmarkStart w:id="0" w:name="_GoBack"/>
      <w:bookmarkEnd w:id="0"/>
    </w:p>
    <w:p w:rsidR="0019180C" w:rsidRDefault="0019180C">
      <w:pPr>
        <w:suppressAutoHyphens/>
        <w:jc w:val="center"/>
        <w:rPr>
          <w:spacing w:val="-3"/>
          <w:sz w:val="36"/>
        </w:rPr>
      </w:pPr>
      <w:r w:rsidRPr="00BE3B4A">
        <w:rPr>
          <w:sz w:val="36"/>
          <w14:shadow w14:blurRad="50800" w14:dist="38100" w14:dir="2700000" w14:sx="100000" w14:sy="100000" w14:kx="0" w14:ky="0" w14:algn="tl">
            <w14:srgbClr w14:val="000000">
              <w14:alpha w14:val="60000"/>
            </w14:srgbClr>
          </w14:shadow>
        </w:rPr>
        <w:lastRenderedPageBreak/>
        <w:t>San Joaquin Valley Air Pollution Control District</w:t>
      </w:r>
    </w:p>
    <w:p w:rsidR="0019180C" w:rsidRDefault="0019180C">
      <w:pPr>
        <w:jc w:val="center"/>
        <w:rPr>
          <w:sz w:val="32"/>
        </w:rPr>
      </w:pPr>
      <w:r>
        <w:rPr>
          <w:sz w:val="32"/>
        </w:rPr>
        <w:t>Authority to Construct</w:t>
      </w:r>
    </w:p>
    <w:p w:rsidR="0019180C" w:rsidRDefault="0019180C">
      <w:pPr>
        <w:jc w:val="center"/>
        <w:rPr>
          <w:sz w:val="36"/>
        </w:rPr>
      </w:pPr>
      <w:r>
        <w:rPr>
          <w:sz w:val="32"/>
        </w:rPr>
        <w:t>Application Review</w:t>
      </w:r>
    </w:p>
    <w:p w:rsidR="0019180C" w:rsidRDefault="0019180C">
      <w:pPr>
        <w:suppressAutoHyphens/>
        <w:jc w:val="center"/>
        <w:rPr>
          <w:color w:val="000000"/>
        </w:rPr>
      </w:pPr>
      <w:r>
        <w:rPr>
          <w:color w:val="000000"/>
        </w:rPr>
        <w:t xml:space="preserve">Soil Remediation Project Served by </w:t>
      </w:r>
      <w:r>
        <w:rPr>
          <w:color w:val="0000FF"/>
        </w:rPr>
        <w:t>Thermal/Catalytic</w:t>
      </w:r>
      <w:r>
        <w:rPr>
          <w:color w:val="000000"/>
        </w:rPr>
        <w:t xml:space="preserve"> Oxidizer</w:t>
      </w:r>
    </w:p>
    <w:p w:rsidR="0019180C" w:rsidRDefault="0019180C">
      <w:pPr>
        <w:suppressAutoHyphens/>
        <w:jc w:val="center"/>
        <w:rPr>
          <w:spacing w:val="-3"/>
        </w:rPr>
      </w:pPr>
    </w:p>
    <w:tbl>
      <w:tblPr>
        <w:tblW w:w="10350" w:type="dxa"/>
        <w:tblInd w:w="18" w:type="dxa"/>
        <w:tblLayout w:type="fixed"/>
        <w:tblLook w:val="0000" w:firstRow="0" w:lastRow="0" w:firstColumn="0" w:lastColumn="0" w:noHBand="0" w:noVBand="0"/>
      </w:tblPr>
      <w:tblGrid>
        <w:gridCol w:w="2340"/>
        <w:gridCol w:w="3600"/>
        <w:gridCol w:w="1080"/>
        <w:gridCol w:w="810"/>
        <w:gridCol w:w="2520"/>
      </w:tblGrid>
      <w:tr w:rsidR="0019180C">
        <w:trPr>
          <w:cantSplit/>
        </w:trPr>
        <w:tc>
          <w:tcPr>
            <w:tcW w:w="2340" w:type="dxa"/>
            <w:vAlign w:val="center"/>
          </w:tcPr>
          <w:p w:rsidR="0019180C" w:rsidRDefault="0019180C">
            <w:pPr>
              <w:spacing w:before="40" w:after="40"/>
              <w:jc w:val="right"/>
              <w:rPr>
                <w:color w:val="000000"/>
              </w:rPr>
            </w:pPr>
            <w:r>
              <w:rPr>
                <w:color w:val="000000"/>
              </w:rPr>
              <w:t>Facility Name:</w:t>
            </w:r>
          </w:p>
        </w:tc>
        <w:tc>
          <w:tcPr>
            <w:tcW w:w="4680" w:type="dxa"/>
            <w:gridSpan w:val="2"/>
            <w:vAlign w:val="center"/>
          </w:tcPr>
          <w:p w:rsidR="0019180C" w:rsidRDefault="0019180C">
            <w:pPr>
              <w:spacing w:before="40" w:after="40"/>
              <w:rPr>
                <w:color w:val="000000"/>
              </w:rPr>
            </w:pPr>
          </w:p>
        </w:tc>
        <w:tc>
          <w:tcPr>
            <w:tcW w:w="810" w:type="dxa"/>
            <w:vAlign w:val="center"/>
          </w:tcPr>
          <w:p w:rsidR="0019180C" w:rsidRDefault="0019180C">
            <w:pPr>
              <w:spacing w:before="40" w:after="40"/>
              <w:jc w:val="right"/>
              <w:rPr>
                <w:color w:val="000000"/>
              </w:rPr>
            </w:pPr>
            <w:r>
              <w:rPr>
                <w:color w:val="000000"/>
              </w:rPr>
              <w:t>Date:</w:t>
            </w:r>
          </w:p>
        </w:tc>
        <w:tc>
          <w:tcPr>
            <w:tcW w:w="2520" w:type="dxa"/>
            <w:vAlign w:val="center"/>
          </w:tcPr>
          <w:p w:rsidR="0019180C" w:rsidRDefault="0019180C">
            <w:pPr>
              <w:spacing w:before="40" w:after="40"/>
              <w:rPr>
                <w:color w:val="000000"/>
              </w:rPr>
            </w:pPr>
          </w:p>
        </w:tc>
      </w:tr>
      <w:tr w:rsidR="0019180C">
        <w:trPr>
          <w:cantSplit/>
        </w:trPr>
        <w:tc>
          <w:tcPr>
            <w:tcW w:w="2340" w:type="dxa"/>
            <w:vMerge w:val="restart"/>
          </w:tcPr>
          <w:p w:rsidR="0019180C" w:rsidRDefault="0019180C">
            <w:pPr>
              <w:spacing w:before="40" w:after="40"/>
              <w:jc w:val="right"/>
              <w:rPr>
                <w:color w:val="000000"/>
              </w:rPr>
            </w:pPr>
            <w:r>
              <w:rPr>
                <w:color w:val="000000"/>
              </w:rPr>
              <w:t>Mailing Address:</w:t>
            </w:r>
          </w:p>
        </w:tc>
        <w:tc>
          <w:tcPr>
            <w:tcW w:w="3600" w:type="dxa"/>
            <w:vMerge w:val="restart"/>
          </w:tcPr>
          <w:p w:rsidR="0019180C" w:rsidRDefault="0019180C">
            <w:pPr>
              <w:spacing w:before="40" w:after="40"/>
              <w:rPr>
                <w:color w:val="000000"/>
              </w:rPr>
            </w:pPr>
          </w:p>
        </w:tc>
        <w:tc>
          <w:tcPr>
            <w:tcW w:w="1890" w:type="dxa"/>
            <w:gridSpan w:val="2"/>
            <w:vAlign w:val="center"/>
          </w:tcPr>
          <w:p w:rsidR="0019180C" w:rsidRDefault="0019180C">
            <w:pPr>
              <w:spacing w:before="40" w:after="40"/>
              <w:jc w:val="right"/>
              <w:rPr>
                <w:color w:val="000000"/>
              </w:rPr>
            </w:pPr>
            <w:r>
              <w:rPr>
                <w:color w:val="000000"/>
              </w:rPr>
              <w:t>Engineer:</w:t>
            </w:r>
          </w:p>
        </w:tc>
        <w:tc>
          <w:tcPr>
            <w:tcW w:w="2520" w:type="dxa"/>
            <w:vAlign w:val="center"/>
          </w:tcPr>
          <w:p w:rsidR="0019180C" w:rsidRDefault="0019180C">
            <w:pPr>
              <w:spacing w:before="40" w:after="40"/>
              <w:rPr>
                <w:color w:val="000000"/>
              </w:rPr>
            </w:pPr>
          </w:p>
        </w:tc>
      </w:tr>
      <w:tr w:rsidR="0019180C">
        <w:trPr>
          <w:cantSplit/>
        </w:trPr>
        <w:tc>
          <w:tcPr>
            <w:tcW w:w="2340" w:type="dxa"/>
            <w:vMerge/>
          </w:tcPr>
          <w:p w:rsidR="0019180C" w:rsidRDefault="0019180C">
            <w:pPr>
              <w:spacing w:before="40" w:after="40"/>
              <w:jc w:val="right"/>
              <w:rPr>
                <w:color w:val="000000"/>
              </w:rPr>
            </w:pPr>
          </w:p>
        </w:tc>
        <w:tc>
          <w:tcPr>
            <w:tcW w:w="3600" w:type="dxa"/>
            <w:vMerge/>
          </w:tcPr>
          <w:p w:rsidR="0019180C" w:rsidRDefault="0019180C">
            <w:pPr>
              <w:spacing w:before="40" w:after="40"/>
              <w:rPr>
                <w:color w:val="000000"/>
              </w:rPr>
            </w:pPr>
          </w:p>
        </w:tc>
        <w:tc>
          <w:tcPr>
            <w:tcW w:w="1890" w:type="dxa"/>
            <w:gridSpan w:val="2"/>
            <w:vAlign w:val="center"/>
          </w:tcPr>
          <w:p w:rsidR="0019180C" w:rsidRDefault="0019180C">
            <w:pPr>
              <w:spacing w:before="40" w:after="40"/>
              <w:jc w:val="right"/>
              <w:rPr>
                <w:color w:val="000000"/>
              </w:rPr>
            </w:pPr>
            <w:r>
              <w:rPr>
                <w:color w:val="000000"/>
              </w:rPr>
              <w:t>Lead Engineer:</w:t>
            </w:r>
          </w:p>
        </w:tc>
        <w:tc>
          <w:tcPr>
            <w:tcW w:w="2520" w:type="dxa"/>
            <w:vAlign w:val="center"/>
          </w:tcPr>
          <w:p w:rsidR="0019180C" w:rsidRDefault="0019180C">
            <w:pPr>
              <w:spacing w:before="40" w:after="40"/>
              <w:rPr>
                <w:color w:val="000000"/>
              </w:rPr>
            </w:pPr>
          </w:p>
        </w:tc>
      </w:tr>
      <w:tr w:rsidR="0019180C">
        <w:trPr>
          <w:cantSplit/>
        </w:trPr>
        <w:tc>
          <w:tcPr>
            <w:tcW w:w="2340" w:type="dxa"/>
            <w:vAlign w:val="center"/>
          </w:tcPr>
          <w:p w:rsidR="0019180C" w:rsidRDefault="0019180C">
            <w:pPr>
              <w:spacing w:before="40" w:after="40"/>
              <w:jc w:val="right"/>
              <w:rPr>
                <w:color w:val="000000"/>
              </w:rPr>
            </w:pPr>
            <w:r>
              <w:rPr>
                <w:color w:val="000000"/>
              </w:rPr>
              <w:t>Contact Person:</w:t>
            </w:r>
          </w:p>
        </w:tc>
        <w:tc>
          <w:tcPr>
            <w:tcW w:w="8010" w:type="dxa"/>
            <w:gridSpan w:val="4"/>
            <w:vAlign w:val="center"/>
          </w:tcPr>
          <w:p w:rsidR="0019180C" w:rsidRDefault="0019180C">
            <w:pPr>
              <w:spacing w:before="40" w:after="40"/>
              <w:rPr>
                <w:color w:val="000000"/>
              </w:rPr>
            </w:pPr>
          </w:p>
        </w:tc>
      </w:tr>
      <w:tr w:rsidR="0019180C">
        <w:trPr>
          <w:cantSplit/>
        </w:trPr>
        <w:tc>
          <w:tcPr>
            <w:tcW w:w="2340" w:type="dxa"/>
            <w:vAlign w:val="center"/>
          </w:tcPr>
          <w:p w:rsidR="0019180C" w:rsidRDefault="0019180C">
            <w:pPr>
              <w:spacing w:before="40" w:after="40"/>
              <w:jc w:val="right"/>
              <w:rPr>
                <w:color w:val="000000"/>
              </w:rPr>
            </w:pPr>
            <w:r>
              <w:rPr>
                <w:color w:val="000000"/>
              </w:rPr>
              <w:t>Telephone:</w:t>
            </w:r>
          </w:p>
        </w:tc>
        <w:tc>
          <w:tcPr>
            <w:tcW w:w="8010" w:type="dxa"/>
            <w:gridSpan w:val="4"/>
            <w:vAlign w:val="center"/>
          </w:tcPr>
          <w:p w:rsidR="0019180C" w:rsidRDefault="0019180C">
            <w:pPr>
              <w:spacing w:before="40" w:after="40"/>
              <w:rPr>
                <w:color w:val="000000"/>
              </w:rPr>
            </w:pPr>
          </w:p>
        </w:tc>
      </w:tr>
      <w:tr w:rsidR="0019180C">
        <w:trPr>
          <w:cantSplit/>
        </w:trPr>
        <w:tc>
          <w:tcPr>
            <w:tcW w:w="2340" w:type="dxa"/>
            <w:vAlign w:val="center"/>
          </w:tcPr>
          <w:p w:rsidR="0019180C" w:rsidRDefault="0019180C">
            <w:pPr>
              <w:spacing w:before="40" w:after="40"/>
              <w:jc w:val="right"/>
              <w:rPr>
                <w:color w:val="000000"/>
              </w:rPr>
            </w:pPr>
            <w:r>
              <w:rPr>
                <w:color w:val="000000"/>
              </w:rPr>
              <w:t>Application #(s):</w:t>
            </w:r>
          </w:p>
        </w:tc>
        <w:tc>
          <w:tcPr>
            <w:tcW w:w="8010" w:type="dxa"/>
            <w:gridSpan w:val="4"/>
            <w:vAlign w:val="center"/>
          </w:tcPr>
          <w:p w:rsidR="0019180C" w:rsidRDefault="0019180C">
            <w:pPr>
              <w:spacing w:before="40" w:after="40"/>
              <w:rPr>
                <w:color w:val="000000"/>
              </w:rPr>
            </w:pPr>
          </w:p>
        </w:tc>
      </w:tr>
      <w:tr w:rsidR="0019180C">
        <w:trPr>
          <w:cantSplit/>
        </w:trPr>
        <w:tc>
          <w:tcPr>
            <w:tcW w:w="2340" w:type="dxa"/>
            <w:vAlign w:val="center"/>
          </w:tcPr>
          <w:p w:rsidR="0019180C" w:rsidRDefault="0019180C">
            <w:pPr>
              <w:spacing w:before="40" w:after="40"/>
              <w:jc w:val="right"/>
              <w:rPr>
                <w:color w:val="000000"/>
              </w:rPr>
            </w:pPr>
            <w:r>
              <w:rPr>
                <w:color w:val="000000"/>
              </w:rPr>
              <w:t>Project #:</w:t>
            </w:r>
          </w:p>
        </w:tc>
        <w:tc>
          <w:tcPr>
            <w:tcW w:w="8010" w:type="dxa"/>
            <w:gridSpan w:val="4"/>
            <w:vAlign w:val="center"/>
          </w:tcPr>
          <w:p w:rsidR="0019180C" w:rsidRDefault="0019180C">
            <w:pPr>
              <w:spacing w:before="40" w:after="40"/>
              <w:rPr>
                <w:color w:val="000000"/>
              </w:rPr>
            </w:pPr>
          </w:p>
        </w:tc>
      </w:tr>
      <w:tr w:rsidR="0019180C">
        <w:trPr>
          <w:cantSplit/>
        </w:trPr>
        <w:tc>
          <w:tcPr>
            <w:tcW w:w="2340" w:type="dxa"/>
            <w:vAlign w:val="center"/>
          </w:tcPr>
          <w:p w:rsidR="0019180C" w:rsidRDefault="0019180C">
            <w:pPr>
              <w:spacing w:before="40" w:after="40"/>
              <w:jc w:val="right"/>
              <w:rPr>
                <w:noProof/>
                <w:color w:val="000000"/>
              </w:rPr>
            </w:pPr>
            <w:r>
              <w:rPr>
                <w:noProof/>
                <w:color w:val="000000"/>
              </w:rPr>
              <w:t>Deemed Complete:</w:t>
            </w:r>
          </w:p>
        </w:tc>
        <w:tc>
          <w:tcPr>
            <w:tcW w:w="8010" w:type="dxa"/>
            <w:gridSpan w:val="4"/>
            <w:vAlign w:val="center"/>
          </w:tcPr>
          <w:p w:rsidR="0019180C" w:rsidRDefault="0019180C">
            <w:pPr>
              <w:spacing w:before="40" w:after="40"/>
              <w:rPr>
                <w:color w:val="000000"/>
              </w:rPr>
            </w:pPr>
          </w:p>
        </w:tc>
      </w:tr>
    </w:tbl>
    <w:p w:rsidR="0019180C" w:rsidRDefault="00BE3B4A">
      <w:pPr>
        <w:tabs>
          <w:tab w:val="left" w:pos="-720"/>
        </w:tabs>
        <w:suppressAutoHyphens/>
        <w:jc w:val="both"/>
        <w:rPr>
          <w:b/>
          <w:spacing w:val="-3"/>
        </w:rPr>
      </w:pPr>
      <w:r>
        <w:rPr>
          <w:b/>
          <w:noProof/>
          <w:spacing w:val="-3"/>
          <w:sz w:val="20"/>
        </w:rPr>
        <mc:AlternateContent>
          <mc:Choice Requires="wps">
            <w:drawing>
              <wp:anchor distT="0" distB="0" distL="114300" distR="114300" simplePos="0" relativeHeight="251657728" behindDoc="0" locked="0" layoutInCell="1" allowOverlap="1" wp14:anchorId="0C371D46" wp14:editId="396ABD21">
                <wp:simplePos x="0" y="0"/>
                <wp:positionH relativeFrom="column">
                  <wp:posOffset>-62865</wp:posOffset>
                </wp:positionH>
                <wp:positionV relativeFrom="paragraph">
                  <wp:posOffset>132080</wp:posOffset>
                </wp:positionV>
                <wp:extent cx="66294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50800">
                          <a:solidFill>
                            <a:srgbClr val="FF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4pt" to="517.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" strokecolor="red" strokeweight="4pt">
                <v:stroke startarrowwidth="narrow" startarrowlength="short" endarrowwidth="narrow" endarrowlength="short"/>
              </v:line>
            </w:pict>
          </mc:Fallback>
        </mc:AlternateContent>
      </w:r>
    </w:p>
    <w:p w:rsidR="0019180C" w:rsidRDefault="0019180C">
      <w:pPr>
        <w:pStyle w:val="Heading1"/>
        <w:numPr>
          <w:ilvl w:val="0"/>
          <w:numId w:val="0"/>
        </w:numPr>
      </w:pPr>
    </w:p>
    <w:p w:rsidR="0019180C" w:rsidRDefault="0019180C">
      <w:pPr>
        <w:pStyle w:val="Heading1"/>
      </w:pPr>
      <w:r>
        <w:t>Proposal</w:t>
      </w:r>
    </w:p>
    <w:p w:rsidR="0019180C" w:rsidRDefault="0019180C">
      <w:pPr>
        <w:suppressAutoHyphens/>
        <w:jc w:val="both"/>
        <w:rPr>
          <w:b/>
          <w:spacing w:val="-3"/>
        </w:rPr>
      </w:pPr>
    </w:p>
    <w:p w:rsidR="0019180C" w:rsidRDefault="0019180C">
      <w:pPr>
        <w:suppressAutoHyphens/>
        <w:jc w:val="both"/>
        <w:rPr>
          <w:spacing w:val="-3"/>
        </w:rPr>
      </w:pPr>
      <w:r>
        <w:rPr>
          <w:color w:val="0000FF"/>
          <w:spacing w:val="-3"/>
        </w:rPr>
        <w:t>Facility Name</w:t>
      </w:r>
      <w:r>
        <w:rPr>
          <w:spacing w:val="-3"/>
        </w:rPr>
        <w:t xml:space="preserve"> is applying for an Authority to Construct (ATC) permit for a soil</w:t>
      </w:r>
      <w:r w:rsidR="003C592B">
        <w:rPr>
          <w:spacing w:val="-3"/>
        </w:rPr>
        <w:t xml:space="preserve"> </w:t>
      </w:r>
      <w:r w:rsidR="003C592B">
        <w:rPr>
          <w:color w:val="0000FF"/>
          <w:spacing w:val="-3"/>
        </w:rPr>
        <w:t>[and groundwater</w:t>
      </w:r>
      <w:r w:rsidR="00712359">
        <w:rPr>
          <w:color w:val="0000FF"/>
          <w:spacing w:val="-3"/>
        </w:rPr>
        <w:t>]</w:t>
      </w:r>
      <w:r w:rsidR="00712359">
        <w:rPr>
          <w:spacing w:val="-3"/>
        </w:rPr>
        <w:t xml:space="preserve"> remediation</w:t>
      </w:r>
      <w:r>
        <w:rPr>
          <w:spacing w:val="-3"/>
        </w:rPr>
        <w:t xml:space="preserve"> operation served by a </w:t>
      </w:r>
      <w:r>
        <w:rPr>
          <w:color w:val="0000FF"/>
          <w:spacing w:val="-3"/>
        </w:rPr>
        <w:t>thermal/catalytic</w:t>
      </w:r>
      <w:r>
        <w:rPr>
          <w:spacing w:val="-3"/>
        </w:rPr>
        <w:t xml:space="preserve"> oxidizer.  </w:t>
      </w:r>
    </w:p>
    <w:p w:rsidR="0019180C" w:rsidRDefault="0019180C">
      <w:pPr>
        <w:suppressAutoHyphens/>
        <w:jc w:val="both"/>
        <w:rPr>
          <w:color w:val="FF0000"/>
          <w:spacing w:val="-3"/>
        </w:rPr>
      </w:pPr>
      <w:r>
        <w:rPr>
          <w:spacing w:val="-3"/>
        </w:rPr>
        <w:t xml:space="preserve"> </w:t>
      </w:r>
    </w:p>
    <w:p w:rsidR="0019180C" w:rsidRDefault="0019180C">
      <w:pPr>
        <w:suppressAutoHyphens/>
        <w:jc w:val="both"/>
        <w:rPr>
          <w:color w:val="FF0000"/>
          <w:spacing w:val="-3"/>
        </w:rPr>
      </w:pPr>
      <w:r>
        <w:rPr>
          <w:color w:val="FF0000"/>
          <w:spacing w:val="-3"/>
        </w:rPr>
        <w:t>OR</w:t>
      </w:r>
    </w:p>
    <w:p w:rsidR="0019180C" w:rsidRDefault="0019180C">
      <w:pPr>
        <w:suppressAutoHyphens/>
        <w:jc w:val="both"/>
        <w:rPr>
          <w:color w:val="FF0000"/>
          <w:spacing w:val="-3"/>
        </w:rPr>
      </w:pPr>
    </w:p>
    <w:p w:rsidR="0019180C" w:rsidRDefault="0019180C">
      <w:pPr>
        <w:suppressAutoHyphens/>
        <w:jc w:val="both"/>
        <w:rPr>
          <w:color w:val="FF0000"/>
          <w:spacing w:val="-3"/>
        </w:rPr>
      </w:pPr>
      <w:r>
        <w:rPr>
          <w:color w:val="0000FF"/>
          <w:spacing w:val="-3"/>
        </w:rPr>
        <w:t>Facility Name</w:t>
      </w:r>
      <w:r>
        <w:rPr>
          <w:spacing w:val="-3"/>
        </w:rPr>
        <w:t xml:space="preserve"> is applying for an Authority to Construct (ATC) permit to modify their soil </w:t>
      </w:r>
      <w:r w:rsidR="003C592B">
        <w:rPr>
          <w:color w:val="0000FF"/>
          <w:spacing w:val="-3"/>
        </w:rPr>
        <w:t>[and groundwater]</w:t>
      </w:r>
      <w:r w:rsidR="003C592B">
        <w:rPr>
          <w:spacing w:val="-3"/>
        </w:rPr>
        <w:t xml:space="preserve"> </w:t>
      </w:r>
      <w:r>
        <w:rPr>
          <w:spacing w:val="-3"/>
        </w:rPr>
        <w:t xml:space="preserve">remediation operation to </w:t>
      </w:r>
      <w:r>
        <w:rPr>
          <w:color w:val="0000FF"/>
          <w:spacing w:val="-3"/>
        </w:rPr>
        <w:t>(state the type of modification).</w:t>
      </w:r>
      <w:r>
        <w:rPr>
          <w:spacing w:val="-3"/>
        </w:rPr>
        <w:t xml:space="preserve">  </w:t>
      </w:r>
    </w:p>
    <w:p w:rsidR="0019180C" w:rsidRDefault="0019180C">
      <w:pPr>
        <w:suppressAutoHyphens/>
        <w:jc w:val="both"/>
        <w:rPr>
          <w:color w:val="FF0000"/>
          <w:spacing w:val="-3"/>
        </w:rPr>
      </w:pPr>
    </w:p>
    <w:p w:rsidR="0019180C" w:rsidRDefault="0019180C">
      <w:pPr>
        <w:pStyle w:val="Heading1"/>
      </w:pPr>
      <w:r>
        <w:t>Applicable Rules</w:t>
      </w:r>
    </w:p>
    <w:p w:rsidR="0019180C" w:rsidRDefault="0019180C">
      <w:pPr>
        <w:suppressAutoHyphens/>
        <w:jc w:val="both"/>
        <w:rPr>
          <w:spacing w:val="-3"/>
        </w:rPr>
      </w:pPr>
    </w:p>
    <w:p w:rsidR="0019180C" w:rsidRDefault="0019180C">
      <w:pPr>
        <w:keepNext/>
        <w:keepLines/>
        <w:suppressAutoHyphens/>
        <w:jc w:val="both"/>
        <w:rPr>
          <w:color w:val="000000"/>
          <w:spacing w:val="-2"/>
        </w:rPr>
      </w:pPr>
      <w:r>
        <w:rPr>
          <w:spacing w:val="-3"/>
        </w:rPr>
        <w:t>Rule 2201</w:t>
      </w:r>
      <w:r>
        <w:rPr>
          <w:spacing w:val="-3"/>
        </w:rPr>
        <w:tab/>
        <w:t xml:space="preserve">New and Modified Stationary Source Review Rule </w:t>
      </w:r>
      <w:r>
        <w:rPr>
          <w:color w:val="000000"/>
          <w:spacing w:val="-2"/>
        </w:rPr>
        <w:t>(</w:t>
      </w:r>
      <w:r w:rsidR="00CC5581">
        <w:rPr>
          <w:color w:val="000000"/>
          <w:spacing w:val="-2"/>
        </w:rPr>
        <w:t>4/21/11</w:t>
      </w:r>
      <w:r>
        <w:rPr>
          <w:color w:val="000000"/>
          <w:spacing w:val="-2"/>
        </w:rPr>
        <w:t>)</w:t>
      </w:r>
    </w:p>
    <w:p w:rsidR="009A74F5" w:rsidRDefault="009A74F5" w:rsidP="009A74F5">
      <w:pPr>
        <w:suppressAutoHyphens/>
        <w:jc w:val="both"/>
        <w:rPr>
          <w:color w:val="000000"/>
          <w:spacing w:val="-2"/>
        </w:rPr>
      </w:pPr>
      <w:r>
        <w:rPr>
          <w:color w:val="000000"/>
          <w:spacing w:val="-2"/>
        </w:rPr>
        <w:t>Rule 2410</w:t>
      </w:r>
      <w:r>
        <w:rPr>
          <w:color w:val="000000"/>
          <w:spacing w:val="-2"/>
        </w:rPr>
        <w:tab/>
        <w:t>Prevention of Significant Deterioration (6/16/11)</w:t>
      </w:r>
    </w:p>
    <w:p w:rsidR="0019180C" w:rsidRDefault="0019180C">
      <w:pPr>
        <w:suppressAutoHyphens/>
        <w:jc w:val="both"/>
        <w:rPr>
          <w:spacing w:val="-3"/>
          <w:sz w:val="20"/>
        </w:rPr>
      </w:pPr>
      <w:r>
        <w:rPr>
          <w:color w:val="000000"/>
          <w:spacing w:val="-2"/>
        </w:rPr>
        <w:t>Rule 2520</w:t>
      </w:r>
      <w:r>
        <w:rPr>
          <w:color w:val="000000"/>
          <w:spacing w:val="-2"/>
        </w:rPr>
        <w:tab/>
        <w:t>Federally Mandated Permits (6/21/01)</w:t>
      </w:r>
    </w:p>
    <w:p w:rsidR="0019180C" w:rsidRDefault="0019180C">
      <w:pPr>
        <w:suppressAutoHyphens/>
        <w:jc w:val="both"/>
        <w:rPr>
          <w:spacing w:val="-3"/>
        </w:rPr>
      </w:pPr>
      <w:r>
        <w:rPr>
          <w:spacing w:val="-3"/>
        </w:rPr>
        <w:t>Rule 4101</w:t>
      </w:r>
      <w:r>
        <w:rPr>
          <w:spacing w:val="-3"/>
        </w:rPr>
        <w:tab/>
        <w:t xml:space="preserve">Visible Emissions </w:t>
      </w:r>
      <w:r>
        <w:rPr>
          <w:spacing w:val="-2"/>
        </w:rPr>
        <w:t>(2/17/05)</w:t>
      </w:r>
    </w:p>
    <w:p w:rsidR="0019180C" w:rsidRDefault="0019180C">
      <w:pPr>
        <w:suppressAutoHyphens/>
        <w:jc w:val="both"/>
        <w:rPr>
          <w:spacing w:val="-2"/>
        </w:rPr>
      </w:pPr>
      <w:r>
        <w:rPr>
          <w:spacing w:val="-3"/>
        </w:rPr>
        <w:t>Rule 4102</w:t>
      </w:r>
      <w:r>
        <w:rPr>
          <w:spacing w:val="-3"/>
        </w:rPr>
        <w:tab/>
        <w:t xml:space="preserve">Nuisance </w:t>
      </w:r>
      <w:r>
        <w:rPr>
          <w:spacing w:val="-2"/>
        </w:rPr>
        <w:t>(12/17/92)</w:t>
      </w:r>
    </w:p>
    <w:p w:rsidR="0019180C" w:rsidRDefault="0019180C">
      <w:pPr>
        <w:suppressAutoHyphens/>
        <w:jc w:val="both"/>
        <w:rPr>
          <w:spacing w:val="-2"/>
        </w:rPr>
      </w:pPr>
      <w:r>
        <w:rPr>
          <w:spacing w:val="-2"/>
        </w:rPr>
        <w:t>Rule 4201</w:t>
      </w:r>
      <w:r>
        <w:rPr>
          <w:spacing w:val="-2"/>
        </w:rPr>
        <w:tab/>
      </w:r>
      <w:r>
        <w:rPr>
          <w:color w:val="000000"/>
        </w:rPr>
        <w:t xml:space="preserve">Particulate Matter Concentration </w:t>
      </w:r>
      <w:r>
        <w:rPr>
          <w:spacing w:val="-2"/>
        </w:rPr>
        <w:t>(12/17/92)</w:t>
      </w:r>
    </w:p>
    <w:p w:rsidR="0019180C" w:rsidRDefault="0019180C">
      <w:pPr>
        <w:pStyle w:val="Footer"/>
        <w:tabs>
          <w:tab w:val="clear" w:pos="4320"/>
          <w:tab w:val="clear" w:pos="8640"/>
        </w:tabs>
        <w:ind w:right="-180"/>
        <w:jc w:val="both"/>
        <w:rPr>
          <w:rFonts w:cs="Arial"/>
        </w:rPr>
      </w:pPr>
      <w:r>
        <w:rPr>
          <w:spacing w:val="-2"/>
        </w:rPr>
        <w:t xml:space="preserve">Rule 4651  </w:t>
      </w:r>
      <w:r>
        <w:rPr>
          <w:spacing w:val="-2"/>
        </w:rPr>
        <w:tab/>
        <w:t>Volatile Organic Compounds from Decontamination of Soil (9/20/07)</w:t>
      </w:r>
    </w:p>
    <w:p w:rsidR="0019180C" w:rsidRDefault="0019180C">
      <w:pPr>
        <w:pStyle w:val="BodyText3"/>
        <w:rPr>
          <w:spacing w:val="-2"/>
        </w:rPr>
      </w:pPr>
      <w:r>
        <w:rPr>
          <w:spacing w:val="-2"/>
        </w:rPr>
        <w:t xml:space="preserve">Rule 4801  </w:t>
      </w:r>
      <w:r>
        <w:rPr>
          <w:spacing w:val="-2"/>
        </w:rPr>
        <w:tab/>
        <w:t>Sulfur Compounds (12/17/92)</w:t>
      </w:r>
    </w:p>
    <w:p w:rsidR="0019180C" w:rsidRDefault="0019180C">
      <w:pPr>
        <w:suppressAutoHyphens/>
        <w:jc w:val="both"/>
        <w:rPr>
          <w:spacing w:val="-3"/>
        </w:rPr>
      </w:pPr>
      <w:r>
        <w:rPr>
          <w:spacing w:val="-3"/>
        </w:rPr>
        <w:t>CH&amp;SC 41700 California Health and Safety Code (Health Risk Assessment)</w:t>
      </w:r>
    </w:p>
    <w:p w:rsidR="0019180C" w:rsidRDefault="0019180C">
      <w:pPr>
        <w:pStyle w:val="BodyText3"/>
      </w:pPr>
      <w:r>
        <w:t>CH&amp;SC 42301.6 California Health and Safety Code (School Notice)</w:t>
      </w:r>
    </w:p>
    <w:p w:rsidR="0019180C" w:rsidRDefault="0019180C">
      <w:pPr>
        <w:rPr>
          <w:rFonts w:cs="Arial"/>
          <w:spacing w:val="-3"/>
        </w:rPr>
      </w:pPr>
      <w:r>
        <w:rPr>
          <w:rFonts w:cs="Arial"/>
          <w:spacing w:val="-3"/>
        </w:rPr>
        <w:t>Public Resources Code 21000-21177: California Environmental Quality Act (CEQA)</w:t>
      </w:r>
    </w:p>
    <w:p w:rsidR="0019180C" w:rsidRDefault="0019180C">
      <w:pPr>
        <w:rPr>
          <w:rFonts w:cs="Arial"/>
          <w:spacing w:val="-3"/>
        </w:rPr>
      </w:pPr>
      <w:r>
        <w:rPr>
          <w:rFonts w:cs="Arial"/>
          <w:spacing w:val="-3"/>
        </w:rPr>
        <w:t>California Code of Regulations, Title 14, Division 6, Chapter 3, Sections 15000-15387: CEQA Guidelines</w:t>
      </w:r>
    </w:p>
    <w:p w:rsidR="0019180C" w:rsidRDefault="0019180C">
      <w:pPr>
        <w:pStyle w:val="BodyText3"/>
      </w:pPr>
    </w:p>
    <w:p w:rsidR="0019180C" w:rsidRDefault="0019180C">
      <w:pPr>
        <w:suppressAutoHyphens/>
        <w:jc w:val="both"/>
        <w:rPr>
          <w:b/>
          <w:spacing w:val="-3"/>
          <w:u w:val="single"/>
        </w:rPr>
      </w:pPr>
    </w:p>
    <w:p w:rsidR="0019180C" w:rsidRDefault="0019180C">
      <w:pPr>
        <w:pStyle w:val="Heading1"/>
      </w:pPr>
      <w:r>
        <w:lastRenderedPageBreak/>
        <w:t>Project Location</w:t>
      </w:r>
    </w:p>
    <w:p w:rsidR="0019180C" w:rsidRDefault="0019180C">
      <w:pPr>
        <w:keepNext/>
        <w:suppressAutoHyphens/>
        <w:jc w:val="both"/>
        <w:rPr>
          <w:spacing w:val="-3"/>
        </w:rPr>
      </w:pPr>
    </w:p>
    <w:p w:rsidR="0019180C" w:rsidRDefault="0019180C">
      <w:pPr>
        <w:keepNext/>
        <w:suppressAutoHyphens/>
        <w:jc w:val="both"/>
        <w:rPr>
          <w:color w:val="0000FF"/>
          <w:spacing w:val="-3"/>
        </w:rPr>
      </w:pPr>
      <w:r>
        <w:rPr>
          <w:spacing w:val="-3"/>
        </w:rPr>
        <w:t xml:space="preserve">The facility is located at </w:t>
      </w:r>
      <w:r w:rsidR="00A52998">
        <w:rPr>
          <w:spacing w:val="-3"/>
        </w:rPr>
        <w:t>[</w:t>
      </w:r>
      <w:r>
        <w:rPr>
          <w:color w:val="0000FF"/>
          <w:spacing w:val="-3"/>
        </w:rPr>
        <w:t>location</w:t>
      </w:r>
      <w:r w:rsidR="00A52998">
        <w:rPr>
          <w:color w:val="0000FF"/>
          <w:spacing w:val="-3"/>
        </w:rPr>
        <w:t>]</w:t>
      </w:r>
      <w:r>
        <w:rPr>
          <w:spacing w:val="-3"/>
        </w:rPr>
        <w:t xml:space="preserve">.  The District has verified that the facility </w:t>
      </w:r>
      <w:r>
        <w:rPr>
          <w:color w:val="0000FF"/>
          <w:spacing w:val="-3"/>
        </w:rPr>
        <w:t>is</w:t>
      </w:r>
      <w:r w:rsidR="003C592B">
        <w:rPr>
          <w:color w:val="0000FF"/>
          <w:spacing w:val="-3"/>
        </w:rPr>
        <w:t>/</w:t>
      </w:r>
      <w:r>
        <w:rPr>
          <w:color w:val="0000FF"/>
          <w:spacing w:val="-3"/>
        </w:rPr>
        <w:t>is not</w:t>
      </w:r>
      <w:r>
        <w:rPr>
          <w:spacing w:val="-3"/>
        </w:rPr>
        <w:t xml:space="preserve"> located within 1,000 feet of the outer boundary of any K-12 school.  Therefore, pursuant to CH&amp;SC 42301.6, California Health and Safety Code (School Notice), public notification</w:t>
      </w:r>
      <w:r>
        <w:rPr>
          <w:color w:val="0000FF"/>
          <w:spacing w:val="-3"/>
        </w:rPr>
        <w:t xml:space="preserve"> is</w:t>
      </w:r>
      <w:r w:rsidR="003C592B">
        <w:rPr>
          <w:color w:val="0000FF"/>
          <w:spacing w:val="-3"/>
        </w:rPr>
        <w:t>/</w:t>
      </w:r>
      <w:r>
        <w:rPr>
          <w:color w:val="0000FF"/>
          <w:spacing w:val="-3"/>
        </w:rPr>
        <w:t xml:space="preserve">is not </w:t>
      </w:r>
      <w:r>
        <w:rPr>
          <w:spacing w:val="-3"/>
        </w:rPr>
        <w:t>required.</w:t>
      </w:r>
    </w:p>
    <w:p w:rsidR="0019180C" w:rsidRDefault="0019180C">
      <w:pPr>
        <w:suppressAutoHyphens/>
        <w:jc w:val="both"/>
        <w:rPr>
          <w:spacing w:val="-3"/>
        </w:rPr>
      </w:pPr>
    </w:p>
    <w:p w:rsidR="0019180C" w:rsidRDefault="0019180C">
      <w:pPr>
        <w:suppressAutoHyphens/>
        <w:jc w:val="both"/>
        <w:rPr>
          <w:color w:val="0000FF"/>
          <w:spacing w:val="-3"/>
        </w:rPr>
      </w:pPr>
      <w:r>
        <w:rPr>
          <w:color w:val="FF0000"/>
          <w:spacing w:val="-3"/>
        </w:rPr>
        <w:t>If located at</w:t>
      </w:r>
      <w:r w:rsidR="009A74F5">
        <w:rPr>
          <w:color w:val="FF0000"/>
          <w:spacing w:val="-3"/>
        </w:rPr>
        <w:t xml:space="preserve"> an</w:t>
      </w:r>
      <w:r>
        <w:rPr>
          <w:color w:val="FF0000"/>
          <w:spacing w:val="-3"/>
        </w:rPr>
        <w:t xml:space="preserve"> existing stationary source</w:t>
      </w:r>
      <w:r>
        <w:rPr>
          <w:color w:val="0000FF"/>
          <w:spacing w:val="-3"/>
        </w:rPr>
        <w:t xml:space="preserve"> </w:t>
      </w:r>
    </w:p>
    <w:p w:rsidR="0019180C" w:rsidRDefault="0019180C">
      <w:pPr>
        <w:suppressAutoHyphens/>
        <w:jc w:val="both"/>
        <w:rPr>
          <w:color w:val="0000FF"/>
          <w:spacing w:val="-3"/>
        </w:rPr>
      </w:pPr>
      <w:r>
        <w:rPr>
          <w:color w:val="0000FF"/>
          <w:spacing w:val="-3"/>
        </w:rPr>
        <w:t xml:space="preserve"> </w:t>
      </w:r>
    </w:p>
    <w:p w:rsidR="0019180C" w:rsidRDefault="0019180C">
      <w:pPr>
        <w:suppressAutoHyphens/>
        <w:jc w:val="both"/>
        <w:rPr>
          <w:color w:val="0000FF"/>
          <w:spacing w:val="-3"/>
        </w:rPr>
      </w:pPr>
      <w:r>
        <w:rPr>
          <w:color w:val="0000FF"/>
          <w:spacing w:val="-3"/>
        </w:rPr>
        <w:t>Although this operation is located at [Facility Name and #], it is considered a different stationary source with a different SIC code</w:t>
      </w:r>
      <w:r w:rsidR="003C592B">
        <w:rPr>
          <w:color w:val="0000FF"/>
          <w:spacing w:val="-3"/>
        </w:rPr>
        <w:t xml:space="preserve"> since the soil remediation operation is not considered a normal business activity of the existing facility</w:t>
      </w:r>
      <w:r>
        <w:rPr>
          <w:color w:val="0000FF"/>
          <w:spacing w:val="-3"/>
        </w:rPr>
        <w:t>.</w:t>
      </w:r>
    </w:p>
    <w:p w:rsidR="0019180C" w:rsidRDefault="0019180C">
      <w:pPr>
        <w:suppressAutoHyphens/>
        <w:jc w:val="both"/>
        <w:rPr>
          <w:spacing w:val="-3"/>
        </w:rPr>
      </w:pPr>
    </w:p>
    <w:p w:rsidR="0019180C" w:rsidRDefault="0019180C">
      <w:pPr>
        <w:pStyle w:val="Heading1"/>
      </w:pPr>
      <w:r>
        <w:t>Process Description</w:t>
      </w:r>
    </w:p>
    <w:p w:rsidR="0019180C" w:rsidRDefault="0019180C">
      <w:pPr>
        <w:pStyle w:val="BodyText3"/>
      </w:pPr>
    </w:p>
    <w:p w:rsidR="0019180C" w:rsidRDefault="0019180C">
      <w:pPr>
        <w:suppressAutoHyphens/>
        <w:jc w:val="both"/>
        <w:rPr>
          <w:spacing w:val="-3"/>
        </w:rPr>
      </w:pPr>
      <w:r>
        <w:rPr>
          <w:spacing w:val="-3"/>
        </w:rPr>
        <w:t xml:space="preserve">The remediation system will consist of a vapor extraction blower and a </w:t>
      </w:r>
      <w:r>
        <w:rPr>
          <w:color w:val="0000FF"/>
          <w:spacing w:val="-3"/>
        </w:rPr>
        <w:t>thermal/catalytic</w:t>
      </w:r>
      <w:r>
        <w:rPr>
          <w:spacing w:val="-3"/>
        </w:rPr>
        <w:t xml:space="preserve"> oxidizer.  The vapor extraction blower will remove gasoline vapors from the contaminated soil and convey a mixture of gasoline vapors and air to the </w:t>
      </w:r>
      <w:r>
        <w:rPr>
          <w:color w:val="0000FF"/>
          <w:spacing w:val="-3"/>
        </w:rPr>
        <w:t>thermal/catalytic</w:t>
      </w:r>
      <w:r>
        <w:rPr>
          <w:spacing w:val="-3"/>
        </w:rPr>
        <w:t xml:space="preserve"> oxidizer.  The </w:t>
      </w:r>
      <w:r>
        <w:rPr>
          <w:color w:val="0000FF"/>
          <w:spacing w:val="-3"/>
        </w:rPr>
        <w:t>thermal/catalytic</w:t>
      </w:r>
      <w:r>
        <w:rPr>
          <w:spacing w:val="-3"/>
        </w:rPr>
        <w:t xml:space="preserve"> oxidizer will destroy at least 95% of the VOC in the process stream prior to discharge into the atmosphere.</w:t>
      </w:r>
    </w:p>
    <w:p w:rsidR="0019180C" w:rsidRDefault="0019180C">
      <w:pPr>
        <w:suppressAutoHyphens/>
        <w:ind w:left="720" w:hanging="720"/>
        <w:jc w:val="both"/>
        <w:rPr>
          <w:spacing w:val="-3"/>
        </w:rPr>
      </w:pPr>
    </w:p>
    <w:p w:rsidR="0019180C" w:rsidRDefault="0019180C">
      <w:pPr>
        <w:suppressAutoHyphens/>
        <w:jc w:val="both"/>
        <w:rPr>
          <w:spacing w:val="-3"/>
        </w:rPr>
      </w:pPr>
      <w:r>
        <w:rPr>
          <w:spacing w:val="-3"/>
          <w:u w:val="single"/>
        </w:rPr>
        <w:t>Operating Schedule</w:t>
      </w:r>
      <w:r>
        <w:rPr>
          <w:spacing w:val="-3"/>
        </w:rPr>
        <w:t>:</w:t>
      </w:r>
    </w:p>
    <w:p w:rsidR="0019180C" w:rsidRDefault="0019180C">
      <w:pPr>
        <w:suppressAutoHyphens/>
        <w:jc w:val="both"/>
        <w:rPr>
          <w:spacing w:val="-3"/>
        </w:rPr>
      </w:pPr>
    </w:p>
    <w:p w:rsidR="0019180C" w:rsidRDefault="0019180C">
      <w:pPr>
        <w:pStyle w:val="BodyText3"/>
      </w:pPr>
      <w:r>
        <w:t xml:space="preserve">The operating schedule is </w:t>
      </w:r>
      <w:r>
        <w:rPr>
          <w:color w:val="0000FF"/>
        </w:rPr>
        <w:t>[  ]</w:t>
      </w:r>
      <w:r>
        <w:t xml:space="preserve"> hr/day, </w:t>
      </w:r>
      <w:r>
        <w:rPr>
          <w:color w:val="0000FF"/>
        </w:rPr>
        <w:t>[  ]</w:t>
      </w:r>
      <w:r>
        <w:t xml:space="preserve"> days/week, and </w:t>
      </w:r>
      <w:r>
        <w:rPr>
          <w:color w:val="0000FF"/>
        </w:rPr>
        <w:t>[  ]</w:t>
      </w:r>
      <w:r>
        <w:t xml:space="preserve"> weeks/year.  The expected life of the project is </w:t>
      </w:r>
      <w:r>
        <w:rPr>
          <w:color w:val="0000FF"/>
        </w:rPr>
        <w:t xml:space="preserve">[  ] </w:t>
      </w:r>
      <w:r>
        <w:t>years.</w:t>
      </w:r>
    </w:p>
    <w:p w:rsidR="0019180C" w:rsidRDefault="0019180C">
      <w:pPr>
        <w:suppressAutoHyphens/>
        <w:jc w:val="both"/>
        <w:rPr>
          <w:b/>
          <w:spacing w:val="-3"/>
        </w:rPr>
      </w:pPr>
      <w:r>
        <w:rPr>
          <w:b/>
          <w:spacing w:val="-3"/>
        </w:rPr>
        <w:tab/>
      </w:r>
    </w:p>
    <w:p w:rsidR="0019180C" w:rsidRDefault="0019180C">
      <w:pPr>
        <w:pStyle w:val="Heading1"/>
      </w:pPr>
      <w:r>
        <w:t>Equipment Listing</w:t>
      </w:r>
    </w:p>
    <w:p w:rsidR="0019180C" w:rsidRDefault="0019180C">
      <w:pPr>
        <w:suppressAutoHyphens/>
        <w:ind w:left="720"/>
        <w:jc w:val="both"/>
        <w:rPr>
          <w:b/>
          <w:spacing w:val="-3"/>
        </w:rPr>
      </w:pPr>
    </w:p>
    <w:p w:rsidR="0019180C" w:rsidRDefault="0019180C">
      <w:pPr>
        <w:suppressAutoHyphens/>
        <w:jc w:val="both"/>
        <w:rPr>
          <w:spacing w:val="-3"/>
        </w:rPr>
      </w:pPr>
      <w:r>
        <w:rPr>
          <w:color w:val="0000FF"/>
          <w:spacing w:val="-3"/>
          <w:u w:val="single"/>
        </w:rPr>
        <w:t>Thermal/Catalytic</w:t>
      </w:r>
      <w:r>
        <w:rPr>
          <w:spacing w:val="-3"/>
          <w:u w:val="single"/>
        </w:rPr>
        <w:t xml:space="preserve"> Oxidizer System</w:t>
      </w:r>
      <w:r>
        <w:rPr>
          <w:spacing w:val="-3"/>
        </w:rPr>
        <w:t>:</w:t>
      </w:r>
    </w:p>
    <w:p w:rsidR="0019180C" w:rsidRDefault="0019180C">
      <w:pPr>
        <w:tabs>
          <w:tab w:val="left" w:pos="-1440"/>
          <w:tab w:val="left" w:pos="-720"/>
          <w:tab w:val="right" w:pos="3780"/>
        </w:tabs>
        <w:suppressAutoHyphens/>
        <w:jc w:val="both"/>
        <w:rPr>
          <w:spacing w:val="-3"/>
        </w:rPr>
      </w:pPr>
      <w:r>
        <w:rPr>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5598"/>
      </w:tblGrid>
      <w:tr w:rsidR="0019180C">
        <w:tc>
          <w:tcPr>
            <w:tcW w:w="2952" w:type="dxa"/>
            <w:tcBorders>
              <w:top w:val="nil"/>
              <w:left w:val="nil"/>
              <w:bottom w:val="nil"/>
              <w:right w:val="nil"/>
            </w:tcBorders>
          </w:tcPr>
          <w:p w:rsidR="0019180C" w:rsidRDefault="0019180C">
            <w:pPr>
              <w:suppressAutoHyphens/>
              <w:jc w:val="right"/>
              <w:rPr>
                <w:spacing w:val="-3"/>
              </w:rPr>
            </w:pPr>
            <w:r>
              <w:rPr>
                <w:spacing w:val="-3"/>
              </w:rPr>
              <w:t xml:space="preserve">Manufacturer: </w:t>
            </w:r>
          </w:p>
        </w:tc>
        <w:tc>
          <w:tcPr>
            <w:tcW w:w="5598" w:type="dxa"/>
            <w:tcBorders>
              <w:top w:val="nil"/>
              <w:left w:val="nil"/>
              <w:bottom w:val="nil"/>
              <w:right w:val="nil"/>
            </w:tcBorders>
          </w:tcPr>
          <w:p w:rsidR="0019180C" w:rsidRDefault="0019180C">
            <w:pPr>
              <w:suppressAutoHyphens/>
              <w:rPr>
                <w:spacing w:val="-3"/>
              </w:rPr>
            </w:pPr>
            <w:r>
              <w:rPr>
                <w:color w:val="0000FF"/>
              </w:rPr>
              <w:t>[  ]</w:t>
            </w:r>
          </w:p>
        </w:tc>
      </w:tr>
      <w:tr w:rsidR="0019180C">
        <w:tc>
          <w:tcPr>
            <w:tcW w:w="2952" w:type="dxa"/>
            <w:tcBorders>
              <w:top w:val="nil"/>
              <w:left w:val="nil"/>
              <w:bottom w:val="nil"/>
              <w:right w:val="nil"/>
            </w:tcBorders>
          </w:tcPr>
          <w:p w:rsidR="0019180C" w:rsidRDefault="0019180C">
            <w:pPr>
              <w:suppressAutoHyphens/>
              <w:jc w:val="right"/>
              <w:rPr>
                <w:spacing w:val="-3"/>
              </w:rPr>
            </w:pPr>
            <w:r>
              <w:rPr>
                <w:spacing w:val="-3"/>
              </w:rPr>
              <w:t>Model #:</w:t>
            </w:r>
          </w:p>
        </w:tc>
        <w:tc>
          <w:tcPr>
            <w:tcW w:w="5598" w:type="dxa"/>
            <w:tcBorders>
              <w:top w:val="nil"/>
              <w:left w:val="nil"/>
              <w:bottom w:val="nil"/>
              <w:right w:val="nil"/>
            </w:tcBorders>
          </w:tcPr>
          <w:p w:rsidR="0019180C" w:rsidRDefault="0019180C">
            <w:pPr>
              <w:suppressAutoHyphens/>
              <w:rPr>
                <w:spacing w:val="-3"/>
              </w:rPr>
            </w:pPr>
            <w:r>
              <w:rPr>
                <w:color w:val="0000FF"/>
              </w:rPr>
              <w:t>[  ]</w:t>
            </w:r>
            <w:r>
              <w:rPr>
                <w:color w:val="0000FF"/>
                <w:spacing w:val="-3"/>
              </w:rPr>
              <w:t xml:space="preserve"> </w:t>
            </w:r>
            <w:r>
              <w:rPr>
                <w:spacing w:val="-3"/>
              </w:rPr>
              <w:t>in</w:t>
            </w:r>
          </w:p>
        </w:tc>
      </w:tr>
      <w:tr w:rsidR="0019180C">
        <w:tc>
          <w:tcPr>
            <w:tcW w:w="2952" w:type="dxa"/>
            <w:tcBorders>
              <w:top w:val="nil"/>
              <w:left w:val="nil"/>
              <w:bottom w:val="nil"/>
              <w:right w:val="nil"/>
            </w:tcBorders>
          </w:tcPr>
          <w:p w:rsidR="0019180C" w:rsidRDefault="0019180C">
            <w:pPr>
              <w:suppressAutoHyphens/>
              <w:jc w:val="right"/>
              <w:rPr>
                <w:spacing w:val="-3"/>
              </w:rPr>
            </w:pPr>
            <w:r>
              <w:rPr>
                <w:spacing w:val="-3"/>
              </w:rPr>
              <w:t>Burner Rating:</w:t>
            </w:r>
          </w:p>
        </w:tc>
        <w:tc>
          <w:tcPr>
            <w:tcW w:w="5598" w:type="dxa"/>
            <w:tcBorders>
              <w:top w:val="nil"/>
              <w:left w:val="nil"/>
              <w:bottom w:val="nil"/>
              <w:right w:val="nil"/>
            </w:tcBorders>
          </w:tcPr>
          <w:p w:rsidR="0019180C" w:rsidRDefault="0019180C">
            <w:pPr>
              <w:suppressAutoHyphens/>
              <w:rPr>
                <w:spacing w:val="-3"/>
              </w:rPr>
            </w:pPr>
            <w:r>
              <w:rPr>
                <w:color w:val="0000FF"/>
              </w:rPr>
              <w:t>[  ]</w:t>
            </w:r>
            <w:r>
              <w:rPr>
                <w:color w:val="0000FF"/>
                <w:spacing w:val="-3"/>
              </w:rPr>
              <w:t xml:space="preserve"> MMBtu or KVA</w:t>
            </w:r>
          </w:p>
        </w:tc>
      </w:tr>
      <w:tr w:rsidR="0019180C">
        <w:tc>
          <w:tcPr>
            <w:tcW w:w="2952" w:type="dxa"/>
            <w:tcBorders>
              <w:top w:val="nil"/>
              <w:left w:val="nil"/>
              <w:bottom w:val="nil"/>
              <w:right w:val="nil"/>
            </w:tcBorders>
          </w:tcPr>
          <w:p w:rsidR="0019180C" w:rsidRDefault="0019180C">
            <w:pPr>
              <w:suppressAutoHyphens/>
              <w:jc w:val="right"/>
              <w:rPr>
                <w:spacing w:val="-3"/>
              </w:rPr>
            </w:pPr>
            <w:r>
              <w:rPr>
                <w:spacing w:val="-3"/>
              </w:rPr>
              <w:t>Supplemental Fuel:</w:t>
            </w:r>
          </w:p>
        </w:tc>
        <w:tc>
          <w:tcPr>
            <w:tcW w:w="5598" w:type="dxa"/>
            <w:tcBorders>
              <w:top w:val="nil"/>
              <w:left w:val="nil"/>
              <w:bottom w:val="nil"/>
              <w:right w:val="nil"/>
            </w:tcBorders>
          </w:tcPr>
          <w:p w:rsidR="0019180C" w:rsidRDefault="0019180C" w:rsidP="009A74F5">
            <w:pPr>
              <w:suppressAutoHyphens/>
              <w:rPr>
                <w:color w:val="0000FF"/>
                <w:spacing w:val="-3"/>
              </w:rPr>
            </w:pPr>
            <w:r>
              <w:rPr>
                <w:color w:val="0000FF"/>
                <w:spacing w:val="-3"/>
              </w:rPr>
              <w:t>Natural Gas, LPG or Electric</w:t>
            </w:r>
          </w:p>
        </w:tc>
      </w:tr>
      <w:tr w:rsidR="0019180C">
        <w:tc>
          <w:tcPr>
            <w:tcW w:w="2952" w:type="dxa"/>
            <w:tcBorders>
              <w:top w:val="nil"/>
              <w:left w:val="nil"/>
              <w:bottom w:val="nil"/>
              <w:right w:val="nil"/>
            </w:tcBorders>
          </w:tcPr>
          <w:p w:rsidR="0019180C" w:rsidRDefault="0019180C">
            <w:pPr>
              <w:suppressAutoHyphens/>
              <w:jc w:val="right"/>
              <w:rPr>
                <w:spacing w:val="-3"/>
              </w:rPr>
            </w:pPr>
            <w:r>
              <w:rPr>
                <w:spacing w:val="-3"/>
              </w:rPr>
              <w:t xml:space="preserve">Destruction Efficiency: </w:t>
            </w:r>
          </w:p>
        </w:tc>
        <w:tc>
          <w:tcPr>
            <w:tcW w:w="5598" w:type="dxa"/>
            <w:tcBorders>
              <w:top w:val="nil"/>
              <w:left w:val="nil"/>
              <w:bottom w:val="nil"/>
              <w:right w:val="nil"/>
            </w:tcBorders>
          </w:tcPr>
          <w:p w:rsidR="0019180C" w:rsidRDefault="0019180C">
            <w:pPr>
              <w:suppressAutoHyphens/>
              <w:rPr>
                <w:b/>
                <w:spacing w:val="-3"/>
                <w:sz w:val="20"/>
              </w:rPr>
            </w:pPr>
            <w:r>
              <w:rPr>
                <w:color w:val="0000FF"/>
                <w:spacing w:val="-3"/>
              </w:rPr>
              <w:t>[  ]</w:t>
            </w:r>
            <w:r>
              <w:rPr>
                <w:color w:val="FF0000"/>
                <w:spacing w:val="-3"/>
              </w:rPr>
              <w:t xml:space="preserve"> </w:t>
            </w:r>
            <w:r>
              <w:rPr>
                <w:spacing w:val="-3"/>
              </w:rPr>
              <w:t xml:space="preserve">% </w:t>
            </w:r>
            <w:r>
              <w:rPr>
                <w:spacing w:val="-2"/>
                <w:sz w:val="20"/>
              </w:rPr>
              <w:t>(District BACT requirement: 95%)</w:t>
            </w:r>
          </w:p>
        </w:tc>
      </w:tr>
      <w:tr w:rsidR="0019180C">
        <w:tc>
          <w:tcPr>
            <w:tcW w:w="2952" w:type="dxa"/>
            <w:tcBorders>
              <w:top w:val="nil"/>
              <w:left w:val="nil"/>
              <w:bottom w:val="nil"/>
              <w:right w:val="nil"/>
            </w:tcBorders>
          </w:tcPr>
          <w:p w:rsidR="0019180C" w:rsidRDefault="0019180C">
            <w:pPr>
              <w:suppressAutoHyphens/>
              <w:jc w:val="right"/>
              <w:rPr>
                <w:spacing w:val="-3"/>
              </w:rPr>
            </w:pPr>
            <w:r>
              <w:rPr>
                <w:spacing w:val="-3"/>
              </w:rPr>
              <w:t>Residence Time:</w:t>
            </w:r>
          </w:p>
        </w:tc>
        <w:tc>
          <w:tcPr>
            <w:tcW w:w="5598" w:type="dxa"/>
            <w:tcBorders>
              <w:top w:val="nil"/>
              <w:left w:val="nil"/>
              <w:bottom w:val="nil"/>
              <w:right w:val="nil"/>
            </w:tcBorders>
          </w:tcPr>
          <w:p w:rsidR="0019180C" w:rsidRDefault="0019180C">
            <w:r>
              <w:rPr>
                <w:color w:val="0000FF"/>
              </w:rPr>
              <w:t>[  ]</w:t>
            </w:r>
            <w:r>
              <w:t xml:space="preserve"> sec </w:t>
            </w:r>
            <w:r>
              <w:rPr>
                <w:spacing w:val="-2"/>
                <w:sz w:val="20"/>
              </w:rPr>
              <w:t>(0.5 sec is a minimum District requirement)</w:t>
            </w:r>
          </w:p>
        </w:tc>
      </w:tr>
      <w:tr w:rsidR="0019180C">
        <w:tc>
          <w:tcPr>
            <w:tcW w:w="2952" w:type="dxa"/>
            <w:tcBorders>
              <w:top w:val="nil"/>
              <w:left w:val="nil"/>
              <w:bottom w:val="nil"/>
              <w:right w:val="nil"/>
            </w:tcBorders>
          </w:tcPr>
          <w:p w:rsidR="0019180C" w:rsidRDefault="0019180C">
            <w:pPr>
              <w:suppressAutoHyphens/>
              <w:jc w:val="right"/>
              <w:rPr>
                <w:spacing w:val="-3"/>
              </w:rPr>
            </w:pPr>
            <w:r>
              <w:rPr>
                <w:spacing w:val="-3"/>
              </w:rPr>
              <w:t>Stack Flowrate:</w:t>
            </w:r>
          </w:p>
        </w:tc>
        <w:tc>
          <w:tcPr>
            <w:tcW w:w="5598" w:type="dxa"/>
            <w:tcBorders>
              <w:top w:val="nil"/>
              <w:left w:val="nil"/>
              <w:bottom w:val="nil"/>
              <w:right w:val="nil"/>
            </w:tcBorders>
          </w:tcPr>
          <w:p w:rsidR="0019180C" w:rsidRDefault="0019180C">
            <w:pPr>
              <w:rPr>
                <w:color w:val="0000FF"/>
              </w:rPr>
            </w:pPr>
            <w:r>
              <w:rPr>
                <w:color w:val="0000FF"/>
              </w:rPr>
              <w:t xml:space="preserve">[  ] </w:t>
            </w:r>
            <w:r>
              <w:rPr>
                <w:color w:val="000000"/>
              </w:rPr>
              <w:t>scfm</w:t>
            </w:r>
          </w:p>
        </w:tc>
      </w:tr>
    </w:tbl>
    <w:p w:rsidR="0019180C" w:rsidRDefault="0019180C">
      <w:pPr>
        <w:tabs>
          <w:tab w:val="right" w:pos="3780"/>
        </w:tabs>
        <w:suppressAutoHyphens/>
        <w:jc w:val="both"/>
        <w:rPr>
          <w:spacing w:val="-3"/>
        </w:rPr>
      </w:pPr>
    </w:p>
    <w:p w:rsidR="0019180C" w:rsidRDefault="0019180C">
      <w:pPr>
        <w:suppressAutoHyphens/>
        <w:jc w:val="both"/>
        <w:rPr>
          <w:spacing w:val="-3"/>
        </w:rPr>
      </w:pPr>
      <w:r>
        <w:rPr>
          <w:spacing w:val="-3"/>
          <w:u w:val="single"/>
        </w:rPr>
        <w:t>Extraction Blower/Motor</w:t>
      </w:r>
      <w:r>
        <w:rPr>
          <w:spacing w:val="-3"/>
        </w:rPr>
        <w:t>:</w:t>
      </w:r>
    </w:p>
    <w:p w:rsidR="0019180C" w:rsidRDefault="0019180C">
      <w:pPr>
        <w:tabs>
          <w:tab w:val="right" w:pos="3780"/>
        </w:tabs>
        <w:suppressAutoHyphens/>
        <w:jc w:val="both"/>
        <w:rPr>
          <w:spacing w:val="-3"/>
        </w:rPr>
      </w:pPr>
      <w:r>
        <w:rPr>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5688"/>
      </w:tblGrid>
      <w:tr w:rsidR="0019180C">
        <w:tc>
          <w:tcPr>
            <w:tcW w:w="2952" w:type="dxa"/>
            <w:tcBorders>
              <w:top w:val="nil"/>
              <w:left w:val="nil"/>
              <w:bottom w:val="nil"/>
              <w:right w:val="nil"/>
            </w:tcBorders>
          </w:tcPr>
          <w:p w:rsidR="0019180C" w:rsidRDefault="0019180C">
            <w:pPr>
              <w:suppressAutoHyphens/>
              <w:jc w:val="right"/>
              <w:rPr>
                <w:spacing w:val="-3"/>
              </w:rPr>
            </w:pPr>
            <w:r>
              <w:rPr>
                <w:spacing w:val="-3"/>
              </w:rPr>
              <w:t xml:space="preserve">Power Rating: </w:t>
            </w:r>
          </w:p>
        </w:tc>
        <w:tc>
          <w:tcPr>
            <w:tcW w:w="5688" w:type="dxa"/>
            <w:tcBorders>
              <w:top w:val="nil"/>
              <w:left w:val="nil"/>
              <w:bottom w:val="nil"/>
              <w:right w:val="nil"/>
            </w:tcBorders>
          </w:tcPr>
          <w:p w:rsidR="0019180C" w:rsidRDefault="0019180C">
            <w:pPr>
              <w:suppressAutoHyphens/>
              <w:rPr>
                <w:color w:val="0000FF"/>
                <w:spacing w:val="-3"/>
              </w:rPr>
            </w:pPr>
            <w:r>
              <w:rPr>
                <w:color w:val="0000FF"/>
                <w:spacing w:val="-3"/>
              </w:rPr>
              <w:t>[  ] hp</w:t>
            </w:r>
          </w:p>
        </w:tc>
      </w:tr>
    </w:tbl>
    <w:p w:rsidR="0019180C" w:rsidRDefault="0019180C">
      <w:pPr>
        <w:suppressAutoHyphens/>
        <w:jc w:val="both"/>
        <w:rPr>
          <w:spacing w:val="-3"/>
        </w:rPr>
      </w:pPr>
    </w:p>
    <w:p w:rsidR="0019180C" w:rsidRDefault="0019180C">
      <w:pPr>
        <w:suppressAutoHyphens/>
        <w:ind w:left="1620" w:hanging="1620"/>
        <w:jc w:val="both"/>
        <w:rPr>
          <w:spacing w:val="-3"/>
        </w:rPr>
      </w:pPr>
      <w:r>
        <w:rPr>
          <w:color w:val="0000FF"/>
          <w:spacing w:val="-3"/>
        </w:rPr>
        <w:t>C-XXXX-X-X:</w:t>
      </w:r>
      <w:r>
        <w:rPr>
          <w:color w:val="0000FF"/>
          <w:spacing w:val="-3"/>
        </w:rPr>
        <w:tab/>
      </w:r>
      <w:r>
        <w:rPr>
          <w:spacing w:val="-3"/>
        </w:rPr>
        <w:t xml:space="preserve">SOIL REMEDIATION PROJECT SERVED BY A </w:t>
      </w:r>
      <w:r>
        <w:rPr>
          <w:color w:val="0000FF"/>
          <w:spacing w:val="-3"/>
        </w:rPr>
        <w:t>XX.X</w:t>
      </w:r>
      <w:r>
        <w:rPr>
          <w:spacing w:val="-3"/>
        </w:rPr>
        <w:t xml:space="preserve"> MMBTU/HR </w:t>
      </w:r>
      <w:r>
        <w:rPr>
          <w:color w:val="0000FF"/>
          <w:spacing w:val="-3"/>
        </w:rPr>
        <w:t>[MANUFACTURER AND MODEL #]</w:t>
      </w:r>
      <w:r>
        <w:rPr>
          <w:spacing w:val="-3"/>
        </w:rPr>
        <w:t xml:space="preserve"> </w:t>
      </w:r>
      <w:r>
        <w:rPr>
          <w:color w:val="0000FF"/>
          <w:spacing w:val="-3"/>
        </w:rPr>
        <w:t>[NATURAL GAS/LPG]</w:t>
      </w:r>
      <w:r>
        <w:rPr>
          <w:spacing w:val="-3"/>
        </w:rPr>
        <w:t xml:space="preserve">-FIRED </w:t>
      </w:r>
      <w:r w:rsidR="00001705">
        <w:rPr>
          <w:spacing w:val="-3"/>
        </w:rPr>
        <w:t>[</w:t>
      </w:r>
      <w:r>
        <w:rPr>
          <w:color w:val="0000FF"/>
          <w:spacing w:val="-3"/>
        </w:rPr>
        <w:t>THERMAL/CATALYTIC</w:t>
      </w:r>
      <w:r w:rsidR="00001705">
        <w:rPr>
          <w:color w:val="0000FF"/>
          <w:spacing w:val="-3"/>
        </w:rPr>
        <w:t>]</w:t>
      </w:r>
      <w:r>
        <w:rPr>
          <w:spacing w:val="-3"/>
        </w:rPr>
        <w:t xml:space="preserve"> OXIDIZER</w:t>
      </w:r>
    </w:p>
    <w:p w:rsidR="00001705" w:rsidRDefault="00001705">
      <w:pPr>
        <w:suppressAutoHyphens/>
        <w:ind w:left="1620" w:hanging="1620"/>
        <w:jc w:val="both"/>
        <w:rPr>
          <w:color w:val="0000FF"/>
          <w:spacing w:val="-3"/>
        </w:rPr>
      </w:pPr>
    </w:p>
    <w:p w:rsidR="00001705" w:rsidRDefault="00001705">
      <w:pPr>
        <w:suppressAutoHyphens/>
        <w:ind w:left="1620" w:hanging="1620"/>
        <w:jc w:val="both"/>
        <w:rPr>
          <w:color w:val="0000FF"/>
          <w:spacing w:val="-3"/>
        </w:rPr>
      </w:pPr>
      <w:r>
        <w:rPr>
          <w:color w:val="0000FF"/>
          <w:spacing w:val="-3"/>
        </w:rPr>
        <w:t>Or</w:t>
      </w:r>
    </w:p>
    <w:p w:rsidR="00001705" w:rsidRDefault="00001705">
      <w:pPr>
        <w:suppressAutoHyphens/>
        <w:ind w:left="1620" w:hanging="1620"/>
        <w:jc w:val="both"/>
        <w:rPr>
          <w:color w:val="0000FF"/>
          <w:spacing w:val="-3"/>
        </w:rPr>
      </w:pPr>
    </w:p>
    <w:p w:rsidR="00001705" w:rsidRDefault="00001705">
      <w:pPr>
        <w:suppressAutoHyphens/>
        <w:ind w:left="1620" w:hanging="1620"/>
        <w:jc w:val="both"/>
        <w:rPr>
          <w:color w:val="0000FF"/>
          <w:spacing w:val="-3"/>
        </w:rPr>
      </w:pPr>
      <w:r>
        <w:rPr>
          <w:color w:val="0000FF"/>
          <w:spacing w:val="-3"/>
        </w:rPr>
        <w:lastRenderedPageBreak/>
        <w:t>C-XXXX-X-X:</w:t>
      </w:r>
      <w:r>
        <w:rPr>
          <w:color w:val="0000FF"/>
          <w:spacing w:val="-3"/>
        </w:rPr>
        <w:tab/>
      </w:r>
      <w:r>
        <w:rPr>
          <w:spacing w:val="-3"/>
        </w:rPr>
        <w:t xml:space="preserve">SOIL REMEDIATION PROJECT SERVED BY A </w:t>
      </w:r>
      <w:r>
        <w:rPr>
          <w:color w:val="0000FF"/>
          <w:spacing w:val="-3"/>
        </w:rPr>
        <w:t>XX.X KVA [MANUFACTURER AND MODEL NUMBER] ELECTRIC [THERMAL/CATALYTIC]</w:t>
      </w:r>
    </w:p>
    <w:p w:rsidR="0019180C" w:rsidRDefault="0019180C">
      <w:pPr>
        <w:suppressAutoHyphens/>
        <w:jc w:val="both"/>
        <w:rPr>
          <w:spacing w:val="-3"/>
        </w:rPr>
      </w:pPr>
    </w:p>
    <w:p w:rsidR="0019180C" w:rsidRDefault="0019180C">
      <w:pPr>
        <w:pStyle w:val="Heading1"/>
      </w:pPr>
      <w:r>
        <w:t>Emission Control Technology Evaluation</w:t>
      </w:r>
    </w:p>
    <w:p w:rsidR="0019180C" w:rsidRDefault="0019180C">
      <w:pPr>
        <w:keepNext/>
        <w:suppressAutoHyphens/>
        <w:jc w:val="both"/>
        <w:rPr>
          <w:spacing w:val="-3"/>
        </w:rPr>
      </w:pPr>
    </w:p>
    <w:p w:rsidR="0019180C" w:rsidRDefault="0019180C">
      <w:pPr>
        <w:keepNext/>
        <w:keepLines/>
        <w:suppressAutoHyphens/>
        <w:jc w:val="both"/>
        <w:rPr>
          <w:color w:val="0000FF"/>
          <w:spacing w:val="-3"/>
          <w:u w:val="single"/>
        </w:rPr>
      </w:pPr>
      <w:r>
        <w:rPr>
          <w:color w:val="0000FF"/>
          <w:spacing w:val="-3"/>
          <w:u w:val="single"/>
        </w:rPr>
        <w:t>Thermal Oxidizer:</w:t>
      </w:r>
    </w:p>
    <w:p w:rsidR="0019180C" w:rsidRDefault="0019180C">
      <w:pPr>
        <w:keepNext/>
        <w:keepLines/>
        <w:suppressAutoHyphens/>
        <w:ind w:left="720" w:hanging="720"/>
        <w:jc w:val="both"/>
      </w:pPr>
    </w:p>
    <w:p w:rsidR="0019180C" w:rsidRDefault="0019180C">
      <w:pPr>
        <w:keepNext/>
        <w:keepLines/>
        <w:suppressAutoHyphens/>
        <w:jc w:val="both"/>
        <w:rPr>
          <w:b/>
          <w:spacing w:val="-3"/>
        </w:rPr>
      </w:pPr>
      <w:r>
        <w:rPr>
          <w:spacing w:val="-3"/>
        </w:rPr>
        <w:t xml:space="preserve">During thermal oxidation, the temperature of the process stream is increased from ambient to </w:t>
      </w:r>
      <w:r w:rsidR="00A52998">
        <w:rPr>
          <w:spacing w:val="-3"/>
        </w:rPr>
        <w:t>≥</w:t>
      </w:r>
      <w:r>
        <w:rPr>
          <w:spacing w:val="-3"/>
        </w:rPr>
        <w:t>1400</w:t>
      </w:r>
      <w:r>
        <w:rPr>
          <w:spacing w:val="-3"/>
          <w:vertAlign w:val="superscript"/>
        </w:rPr>
        <w:t>o</w:t>
      </w:r>
      <w:r>
        <w:rPr>
          <w:spacing w:val="-3"/>
        </w:rPr>
        <w:t xml:space="preserve">F with the assistance of a natural gas/LPG fueled burner.  The combustion chamber will be maintained at </w:t>
      </w:r>
      <w:r w:rsidR="00A52998">
        <w:rPr>
          <w:spacing w:val="-3"/>
        </w:rPr>
        <w:t>≥</w:t>
      </w:r>
      <w:r>
        <w:rPr>
          <w:spacing w:val="-3"/>
        </w:rPr>
        <w:t>1400</w:t>
      </w:r>
      <w:r>
        <w:rPr>
          <w:spacing w:val="-3"/>
          <w:vertAlign w:val="superscript"/>
        </w:rPr>
        <w:t>o</w:t>
      </w:r>
      <w:r>
        <w:rPr>
          <w:spacing w:val="-3"/>
        </w:rPr>
        <w:t>F.  The heated gases are turbulently mixed with oxygen and retained for a minimum of 0.5 seconds in the combustion chamber to ensure maximum VOC incineration.  The thermal oxidizer will operate with a destruction efficiency of at least 95%.</w:t>
      </w:r>
      <w:r>
        <w:rPr>
          <w:spacing w:val="-3"/>
        </w:rPr>
        <w:tab/>
      </w:r>
    </w:p>
    <w:p w:rsidR="0019180C" w:rsidRDefault="0019180C">
      <w:pPr>
        <w:pStyle w:val="FootnoteText"/>
        <w:rPr>
          <w:rFonts w:ascii="Arial" w:hAnsi="Arial"/>
        </w:rPr>
      </w:pPr>
    </w:p>
    <w:p w:rsidR="0019180C" w:rsidRDefault="0019180C">
      <w:pPr>
        <w:rPr>
          <w:color w:val="0000FF"/>
          <w:u w:val="single"/>
        </w:rPr>
      </w:pPr>
      <w:r>
        <w:rPr>
          <w:color w:val="0000FF"/>
          <w:u w:val="single"/>
        </w:rPr>
        <w:t>Catalytic Oxidizer:</w:t>
      </w:r>
    </w:p>
    <w:p w:rsidR="0019180C" w:rsidRDefault="0019180C">
      <w:pPr>
        <w:rPr>
          <w:u w:val="single"/>
        </w:rPr>
      </w:pPr>
    </w:p>
    <w:p w:rsidR="0019180C" w:rsidRDefault="0019180C">
      <w:pPr>
        <w:pStyle w:val="BodyTextIndent"/>
        <w:suppressAutoHyphens w:val="0"/>
        <w:ind w:left="0"/>
        <w:rPr>
          <w:spacing w:val="0"/>
        </w:rPr>
      </w:pPr>
      <w:r>
        <w:rPr>
          <w:spacing w:val="0"/>
        </w:rPr>
        <w:t>The catalytic oxidizer utilizes a catalytic element installed downstream of the combustion chamber burners.  The precious metals in the catalytic element will accelerate the oxidation process at a lower temperature than for thermal oxidation</w:t>
      </w:r>
      <w:r w:rsidR="004E3DC2">
        <w:rPr>
          <w:spacing w:val="0"/>
        </w:rPr>
        <w:t xml:space="preserve">, normally </w:t>
      </w:r>
      <w:r w:rsidR="004E3DC2">
        <w:rPr>
          <w:rFonts w:cs="Arial"/>
          <w:spacing w:val="0"/>
        </w:rPr>
        <w:t>≥</w:t>
      </w:r>
      <w:r w:rsidR="004E3DC2">
        <w:rPr>
          <w:spacing w:val="0"/>
        </w:rPr>
        <w:t xml:space="preserve"> 600 </w:t>
      </w:r>
      <w:r w:rsidR="004E3DC2">
        <w:rPr>
          <w:rFonts w:cs="Arial"/>
          <w:spacing w:val="0"/>
        </w:rPr>
        <w:t>°</w:t>
      </w:r>
      <w:r w:rsidR="004E3DC2">
        <w:rPr>
          <w:spacing w:val="0"/>
        </w:rPr>
        <w:t>F</w:t>
      </w:r>
      <w:r>
        <w:rPr>
          <w:spacing w:val="0"/>
        </w:rPr>
        <w:t>.</w:t>
      </w:r>
    </w:p>
    <w:p w:rsidR="0019180C" w:rsidRDefault="0019180C"/>
    <w:p w:rsidR="0019180C" w:rsidRDefault="0019180C">
      <w:pPr>
        <w:suppressAutoHyphens/>
        <w:jc w:val="both"/>
        <w:rPr>
          <w:i/>
          <w:color w:val="0000FF"/>
          <w:spacing w:val="-3"/>
          <w:u w:val="single"/>
        </w:rPr>
      </w:pPr>
      <w:r>
        <w:rPr>
          <w:i/>
          <w:color w:val="0000FF"/>
          <w:spacing w:val="-3"/>
        </w:rPr>
        <w:t xml:space="preserve">(i)  </w:t>
      </w:r>
      <w:r>
        <w:rPr>
          <w:i/>
          <w:color w:val="0000FF"/>
          <w:spacing w:val="-3"/>
          <w:u w:val="single"/>
        </w:rPr>
        <w:t>If a gaseous fuel burner is used to maintain the minimum temperature</w:t>
      </w:r>
    </w:p>
    <w:p w:rsidR="0019180C" w:rsidRDefault="0019180C">
      <w:pPr>
        <w:suppressAutoHyphens/>
        <w:jc w:val="both"/>
        <w:rPr>
          <w:color w:val="0000FF"/>
          <w:spacing w:val="-3"/>
        </w:rPr>
      </w:pPr>
    </w:p>
    <w:p w:rsidR="0019180C" w:rsidRDefault="0019180C">
      <w:r>
        <w:t xml:space="preserve">Natural gas/LPG will be used as a supplemental fuel when needed to maintain a combustion chamber temperature of </w:t>
      </w:r>
      <w:r w:rsidR="00A52998">
        <w:t>≥</w:t>
      </w:r>
      <w:r>
        <w:t>600</w:t>
      </w:r>
      <w:r>
        <w:rPr>
          <w:vertAlign w:val="superscript"/>
        </w:rPr>
        <w:t>o</w:t>
      </w:r>
      <w:r>
        <w:t xml:space="preserve">F.  The natural gas/LPG fueled burner will be used to heat the VOC contaminated process stream from ambient temperature to </w:t>
      </w:r>
      <w:r w:rsidR="00A52998">
        <w:t>≥</w:t>
      </w:r>
      <w:r>
        <w:t>600</w:t>
      </w:r>
      <w:r>
        <w:rPr>
          <w:vertAlign w:val="superscript"/>
        </w:rPr>
        <w:t>o</w:t>
      </w:r>
      <w:r>
        <w:t xml:space="preserve">F before the process stream passes through the catalytic element.  The catalytic oxidizer will operate with a destruction efficiency of at least 95%.   </w:t>
      </w:r>
    </w:p>
    <w:p w:rsidR="0019180C" w:rsidRDefault="0019180C">
      <w:pPr>
        <w:suppressAutoHyphens/>
        <w:jc w:val="both"/>
        <w:rPr>
          <w:color w:val="0000FF"/>
          <w:spacing w:val="-3"/>
        </w:rPr>
      </w:pPr>
    </w:p>
    <w:p w:rsidR="0019180C" w:rsidRDefault="0019180C">
      <w:pPr>
        <w:suppressAutoHyphens/>
        <w:jc w:val="both"/>
        <w:rPr>
          <w:i/>
          <w:color w:val="0000FF"/>
          <w:spacing w:val="-3"/>
        </w:rPr>
      </w:pPr>
      <w:r>
        <w:rPr>
          <w:i/>
          <w:color w:val="0000FF"/>
          <w:spacing w:val="-3"/>
        </w:rPr>
        <w:t xml:space="preserve">(ii)  </w:t>
      </w:r>
      <w:r>
        <w:rPr>
          <w:i/>
          <w:color w:val="0000FF"/>
          <w:spacing w:val="-3"/>
          <w:u w:val="single"/>
        </w:rPr>
        <w:t>If an electric heating element is used to maintain the minimum temperature</w:t>
      </w:r>
    </w:p>
    <w:p w:rsidR="0019180C" w:rsidRDefault="0019180C">
      <w:pPr>
        <w:suppressAutoHyphens/>
        <w:jc w:val="both"/>
        <w:rPr>
          <w:color w:val="0000FF"/>
          <w:spacing w:val="-3"/>
        </w:rPr>
      </w:pPr>
    </w:p>
    <w:p w:rsidR="0019180C" w:rsidRDefault="0019180C">
      <w:r>
        <w:t xml:space="preserve">An electric heating element will be used to maintain a catalyst bed temperature of </w:t>
      </w:r>
      <w:r w:rsidR="00A52998">
        <w:t>≥</w:t>
      </w:r>
      <w:r>
        <w:t>600</w:t>
      </w:r>
      <w:r>
        <w:rPr>
          <w:vertAlign w:val="superscript"/>
        </w:rPr>
        <w:t>o</w:t>
      </w:r>
      <w:r>
        <w:t>F.  The catalytic oxidizer will operate with a destruction efficiency of at least 95%.</w:t>
      </w:r>
    </w:p>
    <w:p w:rsidR="0019180C" w:rsidRDefault="0019180C">
      <w:pPr>
        <w:suppressAutoHyphens/>
        <w:ind w:left="1440"/>
        <w:jc w:val="both"/>
        <w:rPr>
          <w:spacing w:val="-3"/>
        </w:rPr>
      </w:pPr>
    </w:p>
    <w:p w:rsidR="0019180C" w:rsidRDefault="0019180C">
      <w:pPr>
        <w:pStyle w:val="Heading1"/>
      </w:pPr>
      <w:r>
        <w:t>Emissions Calculations</w:t>
      </w:r>
    </w:p>
    <w:p w:rsidR="0019180C" w:rsidRDefault="0019180C">
      <w:pPr>
        <w:suppressAutoHyphens/>
        <w:jc w:val="both"/>
        <w:rPr>
          <w:spacing w:val="-3"/>
          <w:u w:val="single"/>
        </w:rPr>
      </w:pPr>
    </w:p>
    <w:p w:rsidR="0019180C" w:rsidRDefault="0019180C">
      <w:pPr>
        <w:pStyle w:val="Heading2"/>
        <w:rPr>
          <w:color w:val="000000"/>
        </w:rPr>
      </w:pPr>
      <w:r>
        <w:t>Assumptions</w:t>
      </w:r>
    </w:p>
    <w:p w:rsidR="0019180C" w:rsidRDefault="0019180C">
      <w:pPr>
        <w:suppressAutoHyphens/>
        <w:jc w:val="both"/>
        <w:rPr>
          <w:spacing w:val="-3"/>
        </w:rPr>
      </w:pPr>
    </w:p>
    <w:p w:rsidR="0019180C" w:rsidRDefault="0019180C">
      <w:pPr>
        <w:suppressAutoHyphens/>
        <w:ind w:left="360"/>
        <w:jc w:val="both"/>
        <w:rPr>
          <w:i/>
          <w:color w:val="0000FF"/>
          <w:spacing w:val="-3"/>
          <w:u w:val="single"/>
        </w:rPr>
      </w:pPr>
      <w:r>
        <w:rPr>
          <w:i/>
          <w:color w:val="0000FF"/>
          <w:spacing w:val="-3"/>
          <w:u w:val="single"/>
        </w:rPr>
        <w:t>If ppmv value is not already referenced to methane, add the following conversion:</w:t>
      </w:r>
    </w:p>
    <w:p w:rsidR="0019180C" w:rsidRDefault="0019180C">
      <w:pPr>
        <w:suppressAutoHyphens/>
        <w:ind w:left="360"/>
        <w:jc w:val="both"/>
        <w:rPr>
          <w:spacing w:val="-3"/>
        </w:rPr>
      </w:pPr>
    </w:p>
    <w:p w:rsidR="0019180C" w:rsidRDefault="0019180C">
      <w:pPr>
        <w:pStyle w:val="BodyTextIndent"/>
        <w:ind w:left="360"/>
        <w:rPr>
          <w:iCs/>
          <w:spacing w:val="-2"/>
        </w:rPr>
      </w:pPr>
      <w:r>
        <w:rPr>
          <w:iCs/>
          <w:spacing w:val="-2"/>
        </w:rPr>
        <w:t xml:space="preserve">VOC concentrations are measured with reference to methane.  This requires that the molecular weight be adjusted to methane.  Since the applicant stated that the maximum influent concentration is </w:t>
      </w:r>
      <w:r>
        <w:rPr>
          <w:iCs/>
          <w:color w:val="0000FF"/>
          <w:spacing w:val="-2"/>
        </w:rPr>
        <w:t>[ ]</w:t>
      </w:r>
      <w:r>
        <w:rPr>
          <w:iCs/>
          <w:spacing w:val="-2"/>
        </w:rPr>
        <w:t xml:space="preserve"> ppmv as [gasoline @ 100 lb/lb-mole], the adjusted concentration can be determined as follows:</w:t>
      </w:r>
    </w:p>
    <w:p w:rsidR="0019180C" w:rsidRDefault="0019180C">
      <w:pPr>
        <w:pStyle w:val="BodyTextIndent"/>
        <w:ind w:left="180"/>
        <w:rPr>
          <w:iCs/>
          <w:spacing w:val="-2"/>
        </w:rPr>
      </w:pPr>
    </w:p>
    <w:p w:rsidR="0019180C" w:rsidRDefault="0019180C">
      <w:pPr>
        <w:pStyle w:val="BodyTextIndent"/>
        <w:ind w:left="360"/>
        <w:rPr>
          <w:iCs/>
          <w:spacing w:val="-2"/>
          <w:vertAlign w:val="subscript"/>
        </w:rPr>
      </w:pPr>
      <w:r>
        <w:rPr>
          <w:iCs/>
          <w:spacing w:val="-2"/>
        </w:rPr>
        <w:t>(mass emissions)</w:t>
      </w:r>
      <w:r>
        <w:rPr>
          <w:iCs/>
          <w:spacing w:val="-2"/>
          <w:vertAlign w:val="subscript"/>
        </w:rPr>
        <w:t>as methane</w:t>
      </w:r>
      <w:r>
        <w:rPr>
          <w:iCs/>
          <w:spacing w:val="-2"/>
        </w:rPr>
        <w:t xml:space="preserve"> = mass emissions</w:t>
      </w:r>
      <w:r>
        <w:rPr>
          <w:iCs/>
          <w:spacing w:val="-2"/>
          <w:vertAlign w:val="subscript"/>
        </w:rPr>
        <w:t xml:space="preserve">as </w:t>
      </w:r>
      <w:r>
        <w:rPr>
          <w:iCs/>
          <w:color w:val="0000FF"/>
          <w:spacing w:val="-2"/>
          <w:vertAlign w:val="subscript"/>
        </w:rPr>
        <w:t>gasoline</w:t>
      </w:r>
    </w:p>
    <w:p w:rsidR="0019180C" w:rsidRDefault="0019180C">
      <w:pPr>
        <w:pStyle w:val="BodyTextIndent"/>
        <w:ind w:left="360"/>
        <w:rPr>
          <w:iCs/>
          <w:spacing w:val="-2"/>
        </w:rPr>
      </w:pPr>
    </w:p>
    <w:p w:rsidR="0019180C" w:rsidRDefault="0019180C">
      <w:pPr>
        <w:pStyle w:val="BodyTextIndent"/>
        <w:ind w:left="360"/>
        <w:rPr>
          <w:iCs/>
          <w:spacing w:val="-2"/>
        </w:rPr>
      </w:pPr>
      <w:r>
        <w:rPr>
          <w:iCs/>
          <w:spacing w:val="-2"/>
        </w:rPr>
        <w:lastRenderedPageBreak/>
        <w:t xml:space="preserve">(concentration x </w:t>
      </w:r>
      <w:r>
        <w:rPr>
          <w:iCs/>
          <w:strike/>
          <w:spacing w:val="-2"/>
        </w:rPr>
        <w:t>flowrate</w:t>
      </w:r>
      <w:r>
        <w:rPr>
          <w:iCs/>
          <w:spacing w:val="-2"/>
        </w:rPr>
        <w:t xml:space="preserve"> x </w:t>
      </w:r>
      <w:r>
        <w:rPr>
          <w:iCs/>
          <w:strike/>
          <w:spacing w:val="-2"/>
        </w:rPr>
        <w:t>molar volume</w:t>
      </w:r>
      <w:r>
        <w:rPr>
          <w:iCs/>
          <w:spacing w:val="-2"/>
        </w:rPr>
        <w:t xml:space="preserve"> x molecular weight)</w:t>
      </w:r>
      <w:r>
        <w:rPr>
          <w:iCs/>
          <w:spacing w:val="-2"/>
          <w:vertAlign w:val="subscript"/>
        </w:rPr>
        <w:t xml:space="preserve">methane </w:t>
      </w:r>
      <w:r>
        <w:rPr>
          <w:iCs/>
          <w:spacing w:val="-2"/>
        </w:rPr>
        <w:t xml:space="preserve">= (concentration x </w:t>
      </w:r>
      <w:r>
        <w:rPr>
          <w:iCs/>
          <w:strike/>
          <w:spacing w:val="-2"/>
        </w:rPr>
        <w:t>flowrate</w:t>
      </w:r>
      <w:r>
        <w:rPr>
          <w:iCs/>
          <w:spacing w:val="-2"/>
        </w:rPr>
        <w:t xml:space="preserve"> x </w:t>
      </w:r>
      <w:r>
        <w:rPr>
          <w:iCs/>
          <w:strike/>
          <w:spacing w:val="-2"/>
        </w:rPr>
        <w:t>molar volume</w:t>
      </w:r>
      <w:r>
        <w:rPr>
          <w:iCs/>
          <w:spacing w:val="-2"/>
        </w:rPr>
        <w:t xml:space="preserve"> x molecular weight)</w:t>
      </w:r>
      <w:r>
        <w:rPr>
          <w:iCs/>
          <w:color w:val="0000FF"/>
          <w:spacing w:val="-2"/>
          <w:vertAlign w:val="subscript"/>
        </w:rPr>
        <w:t>gasoline</w:t>
      </w:r>
      <w:r>
        <w:rPr>
          <w:iCs/>
          <w:spacing w:val="-2"/>
        </w:rPr>
        <w:t xml:space="preserve">  </w:t>
      </w:r>
    </w:p>
    <w:p w:rsidR="0019180C" w:rsidRDefault="0019180C">
      <w:pPr>
        <w:pStyle w:val="BodyTextIndent"/>
        <w:ind w:left="360"/>
        <w:rPr>
          <w:iCs/>
          <w:spacing w:val="-2"/>
        </w:rPr>
      </w:pPr>
    </w:p>
    <w:p w:rsidR="0019180C" w:rsidRDefault="0019180C">
      <w:pPr>
        <w:pStyle w:val="BodyTextIndent"/>
        <w:ind w:left="360"/>
        <w:rPr>
          <w:iCs/>
          <w:spacing w:val="-2"/>
        </w:rPr>
      </w:pPr>
      <w:bookmarkStart w:id="1" w:name="OLE_LINK1"/>
      <w:r>
        <w:rPr>
          <w:iCs/>
          <w:spacing w:val="-2"/>
        </w:rPr>
        <w:t>(concentration x molecular weight)</w:t>
      </w:r>
      <w:r>
        <w:rPr>
          <w:iCs/>
          <w:spacing w:val="-2"/>
          <w:vertAlign w:val="subscript"/>
        </w:rPr>
        <w:t>methane</w:t>
      </w:r>
      <w:bookmarkEnd w:id="1"/>
      <w:r>
        <w:rPr>
          <w:iCs/>
          <w:spacing w:val="-2"/>
        </w:rPr>
        <w:t xml:space="preserve"> = (concentration x molecular weight)</w:t>
      </w:r>
      <w:r>
        <w:rPr>
          <w:iCs/>
          <w:color w:val="0000FF"/>
          <w:spacing w:val="-2"/>
          <w:vertAlign w:val="subscript"/>
        </w:rPr>
        <w:t>gasoline</w:t>
      </w:r>
    </w:p>
    <w:p w:rsidR="0019180C" w:rsidRDefault="0019180C">
      <w:pPr>
        <w:pStyle w:val="BodyTextIndent"/>
        <w:ind w:left="360"/>
        <w:rPr>
          <w:iCs/>
          <w:spacing w:val="-2"/>
        </w:rPr>
      </w:pPr>
    </w:p>
    <w:p w:rsidR="0019180C" w:rsidRDefault="0019180C">
      <w:pPr>
        <w:pStyle w:val="BodyTextIndent"/>
        <w:ind w:left="360"/>
        <w:rPr>
          <w:iCs/>
          <w:spacing w:val="-2"/>
        </w:rPr>
      </w:pPr>
      <w:r>
        <w:rPr>
          <w:iCs/>
          <w:spacing w:val="-2"/>
        </w:rPr>
        <w:t>concentration</w:t>
      </w:r>
      <w:r>
        <w:rPr>
          <w:iCs/>
          <w:spacing w:val="-2"/>
          <w:vertAlign w:val="subscript"/>
        </w:rPr>
        <w:t>methane</w:t>
      </w:r>
      <w:r>
        <w:rPr>
          <w:iCs/>
          <w:spacing w:val="-2"/>
        </w:rPr>
        <w:t xml:space="preserve"> </w:t>
      </w:r>
    </w:p>
    <w:p w:rsidR="0019180C" w:rsidRDefault="0019180C">
      <w:pPr>
        <w:pStyle w:val="BodyTextIndent"/>
        <w:ind w:left="360"/>
        <w:rPr>
          <w:iCs/>
          <w:spacing w:val="-2"/>
          <w:vertAlign w:val="subscript"/>
        </w:rPr>
      </w:pPr>
      <w:r>
        <w:rPr>
          <w:iCs/>
          <w:spacing w:val="-2"/>
        </w:rPr>
        <w:t>= concentration</w:t>
      </w:r>
      <w:r>
        <w:rPr>
          <w:iCs/>
          <w:color w:val="0000FF"/>
          <w:spacing w:val="-2"/>
          <w:vertAlign w:val="subscript"/>
        </w:rPr>
        <w:t>gasoline</w:t>
      </w:r>
      <w:r>
        <w:rPr>
          <w:iCs/>
          <w:spacing w:val="-2"/>
        </w:rPr>
        <w:t xml:space="preserve"> x molecular weight</w:t>
      </w:r>
      <w:r>
        <w:rPr>
          <w:iCs/>
          <w:color w:val="0000FF"/>
          <w:spacing w:val="-2"/>
          <w:vertAlign w:val="subscript"/>
        </w:rPr>
        <w:t>gasoline</w:t>
      </w:r>
      <w:r>
        <w:rPr>
          <w:iCs/>
          <w:spacing w:val="-2"/>
        </w:rPr>
        <w:t xml:space="preserve"> / molecular weight</w:t>
      </w:r>
      <w:r>
        <w:rPr>
          <w:iCs/>
          <w:spacing w:val="-2"/>
          <w:vertAlign w:val="subscript"/>
        </w:rPr>
        <w:t>methane</w:t>
      </w:r>
    </w:p>
    <w:p w:rsidR="0019180C" w:rsidRDefault="0019180C">
      <w:pPr>
        <w:pStyle w:val="BodyTextIndent"/>
        <w:ind w:left="360"/>
        <w:rPr>
          <w:iCs/>
          <w:spacing w:val="-2"/>
        </w:rPr>
      </w:pPr>
    </w:p>
    <w:p w:rsidR="0019180C" w:rsidRDefault="0019180C">
      <w:pPr>
        <w:ind w:left="360"/>
        <w:rPr>
          <w:iCs/>
          <w:color w:val="0000FF"/>
          <w:spacing w:val="-2"/>
        </w:rPr>
      </w:pPr>
      <w:r>
        <w:rPr>
          <w:iCs/>
          <w:color w:val="0000FF"/>
          <w:spacing w:val="-2"/>
        </w:rPr>
        <w:t>Maximum Influent Concentration (ppmv as methane)</w:t>
      </w:r>
    </w:p>
    <w:p w:rsidR="0019180C" w:rsidRDefault="0019180C">
      <w:pPr>
        <w:ind w:left="360"/>
        <w:rPr>
          <w:iCs/>
          <w:spacing w:val="-2"/>
          <w:vertAlign w:val="subscript"/>
        </w:rPr>
      </w:pPr>
      <w:r>
        <w:rPr>
          <w:iCs/>
          <w:spacing w:val="-2"/>
        </w:rPr>
        <w:t>= concentration</w:t>
      </w:r>
      <w:r>
        <w:rPr>
          <w:iCs/>
          <w:color w:val="0000FF"/>
          <w:spacing w:val="-2"/>
          <w:vertAlign w:val="subscript"/>
        </w:rPr>
        <w:t>gasoline</w:t>
      </w:r>
      <w:r>
        <w:rPr>
          <w:iCs/>
          <w:spacing w:val="-2"/>
        </w:rPr>
        <w:t xml:space="preserve"> x molecular weight</w:t>
      </w:r>
      <w:r>
        <w:rPr>
          <w:iCs/>
          <w:color w:val="0000FF"/>
          <w:spacing w:val="-2"/>
          <w:vertAlign w:val="subscript"/>
        </w:rPr>
        <w:t>gasoline</w:t>
      </w:r>
      <w:r>
        <w:rPr>
          <w:iCs/>
          <w:spacing w:val="-2"/>
        </w:rPr>
        <w:t xml:space="preserve"> / molecular weight</w:t>
      </w:r>
      <w:r>
        <w:rPr>
          <w:iCs/>
          <w:spacing w:val="-2"/>
          <w:vertAlign w:val="subscript"/>
        </w:rPr>
        <w:t>methane</w:t>
      </w:r>
    </w:p>
    <w:p w:rsidR="0019180C" w:rsidRDefault="0019180C">
      <w:pPr>
        <w:ind w:left="360"/>
        <w:rPr>
          <w:iCs/>
          <w:spacing w:val="-2"/>
        </w:rPr>
      </w:pPr>
      <w:r>
        <w:rPr>
          <w:iCs/>
          <w:spacing w:val="-2"/>
        </w:rPr>
        <w:t xml:space="preserve">= </w:t>
      </w:r>
      <w:r>
        <w:rPr>
          <w:iCs/>
          <w:color w:val="0000FF"/>
          <w:spacing w:val="-2"/>
        </w:rPr>
        <w:t>[  ]</w:t>
      </w:r>
      <w:r>
        <w:rPr>
          <w:iCs/>
          <w:spacing w:val="-2"/>
        </w:rPr>
        <w:t xml:space="preserve"> ppmv-</w:t>
      </w:r>
      <w:r>
        <w:rPr>
          <w:iCs/>
          <w:color w:val="0000FF"/>
          <w:spacing w:val="-2"/>
        </w:rPr>
        <w:t>gasoline</w:t>
      </w:r>
      <w:r>
        <w:rPr>
          <w:iCs/>
          <w:spacing w:val="-2"/>
        </w:rPr>
        <w:t xml:space="preserve"> x 100 lb-</w:t>
      </w:r>
      <w:r>
        <w:rPr>
          <w:iCs/>
          <w:color w:val="0000FF"/>
          <w:spacing w:val="-2"/>
        </w:rPr>
        <w:t>gasoline</w:t>
      </w:r>
      <w:r>
        <w:rPr>
          <w:iCs/>
          <w:spacing w:val="-2"/>
        </w:rPr>
        <w:t>/lb-mole / 16.043 lb-methane/lb-mole</w:t>
      </w:r>
    </w:p>
    <w:p w:rsidR="0019180C" w:rsidRDefault="0019180C">
      <w:pPr>
        <w:suppressAutoHyphens/>
        <w:ind w:left="360"/>
        <w:jc w:val="both"/>
        <w:rPr>
          <w:spacing w:val="-3"/>
        </w:rPr>
      </w:pPr>
      <w:r>
        <w:rPr>
          <w:iCs/>
          <w:spacing w:val="-2"/>
        </w:rPr>
        <w:t xml:space="preserve">= </w:t>
      </w:r>
      <w:r>
        <w:rPr>
          <w:iCs/>
          <w:color w:val="0000FF"/>
          <w:spacing w:val="-2"/>
        </w:rPr>
        <w:t xml:space="preserve">[  ] </w:t>
      </w:r>
      <w:r>
        <w:rPr>
          <w:iCs/>
          <w:spacing w:val="-2"/>
        </w:rPr>
        <w:t>ppmv as methane</w:t>
      </w:r>
    </w:p>
    <w:p w:rsidR="0019180C" w:rsidRDefault="0019180C">
      <w:pPr>
        <w:suppressAutoHyphens/>
        <w:jc w:val="both"/>
        <w:rPr>
          <w:spacing w:val="-3"/>
        </w:rPr>
      </w:pPr>
    </w:p>
    <w:p w:rsidR="0019180C" w:rsidRDefault="0019180C">
      <w:pPr>
        <w:suppressAutoHyphens/>
        <w:ind w:left="360"/>
        <w:jc w:val="both"/>
        <w:rPr>
          <w:spacing w:val="-3"/>
        </w:rPr>
      </w:pPr>
      <w:r>
        <w:rPr>
          <w:spacing w:val="-3"/>
          <w:u w:val="single"/>
        </w:rPr>
        <w:t>Process Weight</w:t>
      </w:r>
      <w:r>
        <w:rPr>
          <w:spacing w:val="-3"/>
        </w:rPr>
        <w:t>:</w:t>
      </w:r>
    </w:p>
    <w:p w:rsidR="0019180C" w:rsidRDefault="0019180C">
      <w:pPr>
        <w:suppressAutoHyphens/>
        <w:jc w:val="both"/>
        <w:rPr>
          <w:spacing w:val="-3"/>
        </w:rPr>
      </w:pPr>
    </w:p>
    <w:p w:rsidR="0019180C" w:rsidRDefault="0019180C">
      <w:pPr>
        <w:numPr>
          <w:ilvl w:val="0"/>
          <w:numId w:val="10"/>
        </w:numPr>
        <w:suppressAutoHyphens/>
        <w:jc w:val="both"/>
        <w:rPr>
          <w:spacing w:val="-3"/>
        </w:rPr>
      </w:pPr>
      <w:r>
        <w:rPr>
          <w:spacing w:val="-3"/>
        </w:rPr>
        <w:t>Maximum influent concentration:</w:t>
      </w:r>
      <w:r>
        <w:rPr>
          <w:spacing w:val="-3"/>
        </w:rPr>
        <w:tab/>
      </w:r>
      <w:r>
        <w:rPr>
          <w:color w:val="0000FF"/>
          <w:spacing w:val="-3"/>
        </w:rPr>
        <w:t>[  ]</w:t>
      </w:r>
      <w:r>
        <w:rPr>
          <w:spacing w:val="-3"/>
        </w:rPr>
        <w:t xml:space="preserve"> </w:t>
      </w:r>
      <w:r>
        <w:rPr>
          <w:color w:val="0000FF"/>
          <w:spacing w:val="-3"/>
        </w:rPr>
        <w:t xml:space="preserve">ppmv as methane </w:t>
      </w:r>
      <w:r>
        <w:rPr>
          <w:i/>
          <w:color w:val="FF0000"/>
          <w:spacing w:val="-3"/>
        </w:rPr>
        <w:t>OR</w:t>
      </w:r>
      <w:r>
        <w:rPr>
          <w:color w:val="0000FF"/>
          <w:spacing w:val="-3"/>
        </w:rPr>
        <w:t xml:space="preserve"> mg/m</w:t>
      </w:r>
      <w:r>
        <w:rPr>
          <w:color w:val="0000FF"/>
          <w:spacing w:val="-3"/>
          <w:vertAlign w:val="superscript"/>
        </w:rPr>
        <w:t>3</w:t>
      </w:r>
      <w:r>
        <w:rPr>
          <w:spacing w:val="-3"/>
        </w:rPr>
        <w:t xml:space="preserve"> of VOC being removed from the soil (proposed by applicant)</w:t>
      </w:r>
    </w:p>
    <w:p w:rsidR="0019180C" w:rsidRDefault="0019180C">
      <w:pPr>
        <w:numPr>
          <w:ilvl w:val="0"/>
          <w:numId w:val="10"/>
        </w:numPr>
        <w:tabs>
          <w:tab w:val="left" w:pos="2970"/>
          <w:tab w:val="left" w:pos="4590"/>
        </w:tabs>
        <w:suppressAutoHyphens/>
        <w:jc w:val="both"/>
        <w:rPr>
          <w:spacing w:val="-3"/>
        </w:rPr>
      </w:pPr>
      <w:r>
        <w:rPr>
          <w:spacing w:val="-3"/>
        </w:rPr>
        <w:t>Maximum influent rate:</w:t>
      </w:r>
      <w:r>
        <w:rPr>
          <w:color w:val="0000FF"/>
          <w:spacing w:val="-3"/>
        </w:rPr>
        <w:t xml:space="preserve"> [   ]</w:t>
      </w:r>
      <w:r>
        <w:rPr>
          <w:color w:val="FF0000"/>
          <w:spacing w:val="-3"/>
        </w:rPr>
        <w:t xml:space="preserve"> </w:t>
      </w:r>
      <w:r>
        <w:rPr>
          <w:spacing w:val="-3"/>
        </w:rPr>
        <w:t>scfm</w:t>
      </w:r>
    </w:p>
    <w:p w:rsidR="0019180C" w:rsidRDefault="0019180C">
      <w:pPr>
        <w:numPr>
          <w:ilvl w:val="0"/>
          <w:numId w:val="10"/>
        </w:numPr>
        <w:suppressAutoHyphens/>
        <w:jc w:val="both"/>
        <w:rPr>
          <w:spacing w:val="-2"/>
        </w:rPr>
      </w:pPr>
      <w:r>
        <w:rPr>
          <w:spacing w:val="-3"/>
        </w:rPr>
        <w:t xml:space="preserve">Control efficiency: </w:t>
      </w:r>
      <w:r>
        <w:rPr>
          <w:color w:val="0000FF"/>
          <w:spacing w:val="-3"/>
        </w:rPr>
        <w:t>[  ]</w:t>
      </w:r>
      <w:r>
        <w:rPr>
          <w:spacing w:val="-3"/>
        </w:rPr>
        <w:t>% (as proposed by the applicant)</w:t>
      </w:r>
      <w:r>
        <w:rPr>
          <w:spacing w:val="-2"/>
        </w:rPr>
        <w:t xml:space="preserve"> minimum BACT requirement</w:t>
      </w:r>
      <w:r>
        <w:rPr>
          <w:spacing w:val="-2"/>
        </w:rPr>
        <w:tab/>
      </w:r>
    </w:p>
    <w:p w:rsidR="0019180C" w:rsidRDefault="0019180C">
      <w:pPr>
        <w:numPr>
          <w:ilvl w:val="0"/>
          <w:numId w:val="10"/>
        </w:numPr>
        <w:suppressAutoHyphens/>
        <w:jc w:val="both"/>
        <w:rPr>
          <w:spacing w:val="-3"/>
        </w:rPr>
      </w:pPr>
      <w:r>
        <w:rPr>
          <w:spacing w:val="-2"/>
        </w:rPr>
        <w:t xml:space="preserve">Maximum effluent VOC concentration  = </w:t>
      </w:r>
      <w:r>
        <w:rPr>
          <w:color w:val="0000FF"/>
          <w:spacing w:val="-2"/>
        </w:rPr>
        <w:t>[  ]</w:t>
      </w:r>
      <w:r>
        <w:rPr>
          <w:spacing w:val="-2"/>
        </w:rPr>
        <w:t xml:space="preserve"> </w:t>
      </w:r>
      <w:r>
        <w:rPr>
          <w:color w:val="0000FF"/>
          <w:spacing w:val="-3"/>
        </w:rPr>
        <w:t>ppmv as methane</w:t>
      </w:r>
      <w:r>
        <w:rPr>
          <w:i/>
          <w:color w:val="FF0000"/>
          <w:spacing w:val="-3"/>
        </w:rPr>
        <w:t xml:space="preserve"> OR</w:t>
      </w:r>
      <w:r>
        <w:rPr>
          <w:color w:val="0000FF"/>
          <w:spacing w:val="-3"/>
        </w:rPr>
        <w:t xml:space="preserve"> mg</w:t>
      </w:r>
      <w:r>
        <w:rPr>
          <w:color w:val="0000FF"/>
          <w:spacing w:val="-3"/>
          <w:vertAlign w:val="superscript"/>
        </w:rPr>
        <w:t>3</w:t>
      </w:r>
      <w:r>
        <w:rPr>
          <w:color w:val="0000FF"/>
          <w:spacing w:val="-3"/>
        </w:rPr>
        <w:t>/m</w:t>
      </w:r>
      <w:r>
        <w:rPr>
          <w:color w:val="0000FF"/>
          <w:spacing w:val="-3"/>
          <w:vertAlign w:val="superscript"/>
        </w:rPr>
        <w:t>3</w:t>
      </w:r>
      <w:r>
        <w:rPr>
          <w:spacing w:val="-2"/>
        </w:rPr>
        <w:t xml:space="preserve"> x (1 – </w:t>
      </w:r>
      <w:r>
        <w:rPr>
          <w:color w:val="0000FF"/>
          <w:spacing w:val="-2"/>
        </w:rPr>
        <w:t>0.95</w:t>
      </w:r>
      <w:r>
        <w:rPr>
          <w:spacing w:val="-2"/>
        </w:rPr>
        <w:t xml:space="preserve">)  </w:t>
      </w:r>
    </w:p>
    <w:p w:rsidR="0019180C" w:rsidRDefault="0019180C">
      <w:pPr>
        <w:suppressAutoHyphens/>
        <w:jc w:val="both"/>
        <w:rPr>
          <w:spacing w:val="-3"/>
        </w:rPr>
      </w:pPr>
    </w:p>
    <w:p w:rsidR="0019180C" w:rsidRDefault="0019180C">
      <w:pPr>
        <w:pStyle w:val="Heading2"/>
        <w:rPr>
          <w:u w:val="single"/>
        </w:rPr>
      </w:pPr>
      <w:r>
        <w:t>Emission Factors</w:t>
      </w:r>
    </w:p>
    <w:p w:rsidR="0019180C" w:rsidRDefault="0019180C">
      <w:pPr>
        <w:suppressAutoHyphens/>
        <w:jc w:val="both"/>
        <w:rPr>
          <w:spacing w:val="-3"/>
        </w:rPr>
      </w:pPr>
    </w:p>
    <w:p w:rsidR="0019180C" w:rsidRDefault="0019180C">
      <w:pPr>
        <w:suppressAutoHyphens/>
        <w:ind w:left="360"/>
        <w:jc w:val="both"/>
        <w:rPr>
          <w:spacing w:val="-3"/>
          <w:u w:val="single"/>
        </w:rPr>
      </w:pPr>
      <w:r>
        <w:rPr>
          <w:spacing w:val="-3"/>
          <w:u w:val="single"/>
        </w:rPr>
        <w:t>Thermal/Catalytic Oxidizer</w:t>
      </w:r>
    </w:p>
    <w:p w:rsidR="0019180C" w:rsidRDefault="0019180C">
      <w:pPr>
        <w:suppressAutoHyphens/>
        <w:jc w:val="both"/>
        <w:rPr>
          <w:spacing w:val="-3"/>
        </w:rPr>
      </w:pPr>
    </w:p>
    <w:p w:rsidR="0019180C" w:rsidRDefault="0019180C">
      <w:pPr>
        <w:suppressAutoHyphens/>
        <w:ind w:left="360"/>
        <w:jc w:val="both"/>
        <w:rPr>
          <w:spacing w:val="-2"/>
        </w:rPr>
      </w:pPr>
      <w:r>
        <w:rPr>
          <w:spacing w:val="-2"/>
        </w:rPr>
        <w:t xml:space="preserve">Maximum effluent VOC concentration </w:t>
      </w:r>
    </w:p>
    <w:p w:rsidR="0019180C" w:rsidRDefault="0019180C">
      <w:pPr>
        <w:suppressAutoHyphens/>
        <w:ind w:left="360"/>
        <w:jc w:val="both"/>
        <w:rPr>
          <w:spacing w:val="-3"/>
        </w:rPr>
      </w:pPr>
      <w:r>
        <w:rPr>
          <w:spacing w:val="-2"/>
        </w:rPr>
        <w:t xml:space="preserve">= </w:t>
      </w:r>
      <w:r>
        <w:rPr>
          <w:color w:val="0000FF"/>
          <w:spacing w:val="-2"/>
        </w:rPr>
        <w:t>[  ]</w:t>
      </w:r>
      <w:r>
        <w:rPr>
          <w:spacing w:val="-2"/>
        </w:rPr>
        <w:t xml:space="preserve"> </w:t>
      </w:r>
      <w:r>
        <w:rPr>
          <w:color w:val="0000FF"/>
          <w:spacing w:val="-3"/>
        </w:rPr>
        <w:t>ppmv</w:t>
      </w:r>
      <w:r>
        <w:rPr>
          <w:i/>
          <w:color w:val="FF0000"/>
          <w:spacing w:val="-3"/>
        </w:rPr>
        <w:t xml:space="preserve"> </w:t>
      </w:r>
      <w:r>
        <w:rPr>
          <w:iCs/>
          <w:color w:val="0000FF"/>
          <w:spacing w:val="-3"/>
        </w:rPr>
        <w:t>as methane</w:t>
      </w:r>
      <w:r>
        <w:rPr>
          <w:i/>
          <w:color w:val="FF0000"/>
          <w:spacing w:val="-3"/>
        </w:rPr>
        <w:t xml:space="preserve"> OR</w:t>
      </w:r>
      <w:r>
        <w:rPr>
          <w:color w:val="0000FF"/>
          <w:spacing w:val="-3"/>
        </w:rPr>
        <w:t xml:space="preserve"> mg</w:t>
      </w:r>
      <w:r>
        <w:rPr>
          <w:color w:val="0000FF"/>
          <w:spacing w:val="-3"/>
          <w:vertAlign w:val="superscript"/>
        </w:rPr>
        <w:t>3</w:t>
      </w:r>
      <w:r>
        <w:rPr>
          <w:color w:val="0000FF"/>
          <w:spacing w:val="-3"/>
        </w:rPr>
        <w:t>/m</w:t>
      </w:r>
      <w:r>
        <w:rPr>
          <w:color w:val="0000FF"/>
          <w:spacing w:val="-3"/>
          <w:vertAlign w:val="superscript"/>
        </w:rPr>
        <w:t>3</w:t>
      </w:r>
      <w:r>
        <w:rPr>
          <w:spacing w:val="-2"/>
        </w:rPr>
        <w:t xml:space="preserve"> x (1 – </w:t>
      </w:r>
      <w:r>
        <w:rPr>
          <w:color w:val="0000FF"/>
          <w:spacing w:val="-2"/>
        </w:rPr>
        <w:t>0.95</w:t>
      </w:r>
      <w:r>
        <w:rPr>
          <w:spacing w:val="-2"/>
        </w:rPr>
        <w:t xml:space="preserve">) </w:t>
      </w:r>
    </w:p>
    <w:p w:rsidR="0019180C" w:rsidRDefault="0019180C">
      <w:pPr>
        <w:suppressAutoHyphens/>
        <w:jc w:val="both"/>
        <w:rPr>
          <w:spacing w:val="-3"/>
        </w:rPr>
      </w:pPr>
    </w:p>
    <w:p w:rsidR="0019180C" w:rsidRDefault="0019180C">
      <w:pPr>
        <w:suppressAutoHyphens/>
        <w:ind w:left="360"/>
        <w:jc w:val="both"/>
        <w:rPr>
          <w:rFonts w:cs="Arial"/>
          <w:spacing w:val="-3"/>
          <w:szCs w:val="24"/>
          <w:u w:val="single"/>
        </w:rPr>
      </w:pPr>
      <w:r>
        <w:rPr>
          <w:rFonts w:cs="Arial"/>
          <w:spacing w:val="-3"/>
          <w:szCs w:val="24"/>
          <w:u w:val="single"/>
        </w:rPr>
        <w:t>Natural Gas</w:t>
      </w:r>
    </w:p>
    <w:p w:rsidR="0019180C" w:rsidRDefault="0019180C">
      <w:pPr>
        <w:suppressAutoHyphens/>
        <w:ind w:left="990"/>
        <w:jc w:val="both"/>
        <w:rPr>
          <w:rFonts w:cs="Arial"/>
          <w:spacing w:val="-3"/>
          <w:szCs w:val="24"/>
        </w:rPr>
      </w:pPr>
    </w:p>
    <w:p w:rsidR="0019180C" w:rsidRDefault="0019180C">
      <w:pPr>
        <w:suppressAutoHyphens/>
        <w:ind w:left="360"/>
        <w:jc w:val="both"/>
        <w:rPr>
          <w:spacing w:val="-3"/>
        </w:rPr>
      </w:pPr>
      <w:r>
        <w:rPr>
          <w:rFonts w:cs="Arial"/>
          <w:spacing w:val="-3"/>
          <w:szCs w:val="24"/>
        </w:rPr>
        <w:t>The following emission factors for NO</w:t>
      </w:r>
      <w:r>
        <w:rPr>
          <w:rFonts w:cs="Arial"/>
          <w:spacing w:val="-3"/>
          <w:szCs w:val="24"/>
          <w:vertAlign w:val="subscript"/>
        </w:rPr>
        <w:t>x</w:t>
      </w:r>
      <w:r>
        <w:rPr>
          <w:rFonts w:cs="Arial"/>
          <w:spacing w:val="-3"/>
          <w:szCs w:val="24"/>
        </w:rPr>
        <w:t>, CO, VOC, and PM</w:t>
      </w:r>
      <w:r>
        <w:rPr>
          <w:rFonts w:cs="Arial"/>
          <w:spacing w:val="-3"/>
          <w:szCs w:val="24"/>
          <w:vertAlign w:val="subscript"/>
        </w:rPr>
        <w:t>10</w:t>
      </w:r>
      <w:r>
        <w:rPr>
          <w:rFonts w:cs="Arial"/>
          <w:spacing w:val="-3"/>
          <w:szCs w:val="24"/>
        </w:rPr>
        <w:t xml:space="preserve"> are from AP-42 (7/98), Table 1.4-1 &amp; 1.4-2.  The SO</w:t>
      </w:r>
      <w:r>
        <w:rPr>
          <w:rFonts w:cs="Arial"/>
          <w:spacing w:val="-3"/>
          <w:szCs w:val="24"/>
          <w:vertAlign w:val="subscript"/>
        </w:rPr>
        <w:t>x</w:t>
      </w:r>
      <w:r>
        <w:rPr>
          <w:rFonts w:cs="Arial"/>
          <w:spacing w:val="-3"/>
          <w:szCs w:val="24"/>
        </w:rPr>
        <w:t xml:space="preserve"> emission factor is from District Policy APR 1720.</w:t>
      </w:r>
    </w:p>
    <w:p w:rsidR="0019180C" w:rsidRDefault="0019180C">
      <w:pPr>
        <w:suppressAutoHyphens/>
        <w:jc w:val="both"/>
        <w:rPr>
          <w:spacing w:val="-3"/>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4050"/>
      </w:tblGrid>
      <w:tr w:rsidR="0019180C" w:rsidTr="00B031E6">
        <w:trPr>
          <w:cantSplit/>
        </w:trPr>
        <w:tc>
          <w:tcPr>
            <w:tcW w:w="7110" w:type="dxa"/>
            <w:gridSpan w:val="2"/>
            <w:tcBorders>
              <w:top w:val="double" w:sz="4" w:space="0" w:color="auto"/>
              <w:left w:val="double" w:sz="4" w:space="0" w:color="auto"/>
              <w:bottom w:val="double" w:sz="4" w:space="0" w:color="auto"/>
              <w:right w:val="double" w:sz="4" w:space="0" w:color="auto"/>
            </w:tcBorders>
            <w:shd w:val="clear" w:color="auto" w:fill="auto"/>
          </w:tcPr>
          <w:p w:rsidR="0019180C" w:rsidRDefault="0019180C">
            <w:pPr>
              <w:pStyle w:val="FootnoteText"/>
              <w:spacing w:before="40" w:after="40"/>
              <w:jc w:val="center"/>
              <w:rPr>
                <w:rFonts w:ascii="Arial" w:hAnsi="Arial" w:cs="Arial"/>
                <w:b/>
                <w:bCs/>
                <w:spacing w:val="-3"/>
                <w:szCs w:val="24"/>
              </w:rPr>
            </w:pPr>
            <w:r>
              <w:rPr>
                <w:rFonts w:ascii="Arial" w:hAnsi="Arial" w:cs="Arial"/>
                <w:b/>
                <w:bCs/>
                <w:spacing w:val="-3"/>
                <w:szCs w:val="24"/>
              </w:rPr>
              <w:t>Emission Factors</w:t>
            </w:r>
          </w:p>
        </w:tc>
      </w:tr>
      <w:tr w:rsidR="0019180C" w:rsidTr="00B031E6">
        <w:tc>
          <w:tcPr>
            <w:tcW w:w="3060" w:type="dxa"/>
            <w:tcBorders>
              <w:top w:val="double" w:sz="4" w:space="0" w:color="auto"/>
              <w:left w:val="double" w:sz="4" w:space="0" w:color="auto"/>
            </w:tcBorders>
            <w:shd w:val="clear" w:color="auto" w:fill="auto"/>
            <w:vAlign w:val="center"/>
          </w:tcPr>
          <w:p w:rsidR="0019180C" w:rsidRDefault="0019180C">
            <w:pPr>
              <w:pStyle w:val="FootnoteText"/>
              <w:jc w:val="center"/>
              <w:rPr>
                <w:rFonts w:ascii="Arial" w:hAnsi="Arial" w:cs="Arial"/>
                <w:spacing w:val="-3"/>
                <w:szCs w:val="24"/>
              </w:rPr>
            </w:pPr>
            <w:r>
              <w:rPr>
                <w:rFonts w:ascii="Arial" w:hAnsi="Arial" w:cs="Arial"/>
                <w:spacing w:val="-3"/>
                <w:szCs w:val="24"/>
              </w:rPr>
              <w:t>Pollutant</w:t>
            </w:r>
          </w:p>
        </w:tc>
        <w:tc>
          <w:tcPr>
            <w:tcW w:w="4050" w:type="dxa"/>
            <w:tcBorders>
              <w:top w:val="double" w:sz="4" w:space="0" w:color="auto"/>
              <w:right w:val="double" w:sz="4" w:space="0" w:color="auto"/>
            </w:tcBorders>
            <w:shd w:val="clear" w:color="auto" w:fill="auto"/>
            <w:vAlign w:val="center"/>
          </w:tcPr>
          <w:p w:rsidR="0019180C" w:rsidRDefault="0019180C">
            <w:pPr>
              <w:suppressAutoHyphens/>
              <w:jc w:val="center"/>
              <w:rPr>
                <w:spacing w:val="-3"/>
              </w:rPr>
            </w:pPr>
            <w:r>
              <w:rPr>
                <w:spacing w:val="-3"/>
              </w:rPr>
              <w:t>EF</w:t>
            </w:r>
            <w:r>
              <w:rPr>
                <w:spacing w:val="-3"/>
                <w:vertAlign w:val="subscript"/>
              </w:rPr>
              <w:t xml:space="preserve">(Natural Gas) </w:t>
            </w:r>
            <w:r>
              <w:rPr>
                <w:spacing w:val="-3"/>
              </w:rPr>
              <w:t>(lb/MMBtu)</w:t>
            </w:r>
          </w:p>
        </w:tc>
      </w:tr>
      <w:tr w:rsidR="0019180C" w:rsidTr="00B031E6">
        <w:tc>
          <w:tcPr>
            <w:tcW w:w="3060" w:type="dxa"/>
            <w:tcBorders>
              <w:left w:val="double" w:sz="4" w:space="0" w:color="auto"/>
            </w:tcBorders>
            <w:shd w:val="clear" w:color="auto" w:fill="auto"/>
            <w:vAlign w:val="center"/>
          </w:tcPr>
          <w:p w:rsidR="0019180C" w:rsidRDefault="0019180C">
            <w:pPr>
              <w:suppressAutoHyphens/>
              <w:jc w:val="center"/>
              <w:rPr>
                <w:spacing w:val="-3"/>
              </w:rPr>
            </w:pPr>
            <w:r>
              <w:rPr>
                <w:noProof/>
                <w:spacing w:val="-3"/>
              </w:rPr>
              <w:t>NO</w:t>
            </w:r>
            <w:r>
              <w:rPr>
                <w:noProof/>
                <w:spacing w:val="-3"/>
                <w:vertAlign w:val="subscript"/>
              </w:rPr>
              <w:t>x</w:t>
            </w:r>
          </w:p>
        </w:tc>
        <w:tc>
          <w:tcPr>
            <w:tcW w:w="4050" w:type="dxa"/>
            <w:tcBorders>
              <w:right w:val="double" w:sz="4" w:space="0" w:color="auto"/>
            </w:tcBorders>
            <w:shd w:val="clear" w:color="auto" w:fill="auto"/>
            <w:vAlign w:val="center"/>
          </w:tcPr>
          <w:p w:rsidR="0019180C" w:rsidRDefault="0019180C">
            <w:pPr>
              <w:suppressAutoHyphens/>
              <w:jc w:val="center"/>
              <w:rPr>
                <w:spacing w:val="-3"/>
              </w:rPr>
            </w:pPr>
            <w:r>
              <w:rPr>
                <w:spacing w:val="-3"/>
              </w:rPr>
              <w:t>0.1</w:t>
            </w:r>
          </w:p>
        </w:tc>
      </w:tr>
      <w:tr w:rsidR="0019180C" w:rsidTr="00B031E6">
        <w:tc>
          <w:tcPr>
            <w:tcW w:w="3060" w:type="dxa"/>
            <w:tcBorders>
              <w:left w:val="double" w:sz="4" w:space="0" w:color="auto"/>
            </w:tcBorders>
            <w:shd w:val="clear" w:color="auto" w:fill="auto"/>
            <w:vAlign w:val="center"/>
          </w:tcPr>
          <w:p w:rsidR="0019180C" w:rsidRDefault="0019180C">
            <w:pPr>
              <w:suppressAutoHyphens/>
              <w:jc w:val="center"/>
              <w:rPr>
                <w:spacing w:val="-3"/>
              </w:rPr>
            </w:pPr>
            <w:r>
              <w:rPr>
                <w:noProof/>
                <w:spacing w:val="-3"/>
              </w:rPr>
              <w:t>SO</w:t>
            </w:r>
            <w:r>
              <w:rPr>
                <w:noProof/>
                <w:spacing w:val="-3"/>
                <w:vertAlign w:val="subscript"/>
              </w:rPr>
              <w:t>x</w:t>
            </w:r>
            <w:r>
              <w:rPr>
                <w:rStyle w:val="FootnoteReference"/>
                <w:noProof/>
                <w:spacing w:val="-3"/>
              </w:rPr>
              <w:footnoteReference w:id="1"/>
            </w:r>
          </w:p>
        </w:tc>
        <w:tc>
          <w:tcPr>
            <w:tcW w:w="4050" w:type="dxa"/>
            <w:tcBorders>
              <w:right w:val="double" w:sz="4" w:space="0" w:color="auto"/>
            </w:tcBorders>
            <w:shd w:val="clear" w:color="auto" w:fill="auto"/>
            <w:vAlign w:val="center"/>
          </w:tcPr>
          <w:p w:rsidR="0019180C" w:rsidRDefault="0019180C">
            <w:pPr>
              <w:suppressAutoHyphens/>
              <w:jc w:val="center"/>
              <w:rPr>
                <w:spacing w:val="-3"/>
              </w:rPr>
            </w:pPr>
            <w:r>
              <w:rPr>
                <w:spacing w:val="-3"/>
              </w:rPr>
              <w:t>0.00285</w:t>
            </w:r>
          </w:p>
        </w:tc>
      </w:tr>
      <w:tr w:rsidR="0019180C" w:rsidTr="00B031E6">
        <w:tc>
          <w:tcPr>
            <w:tcW w:w="3060" w:type="dxa"/>
            <w:tcBorders>
              <w:left w:val="double" w:sz="4" w:space="0" w:color="auto"/>
            </w:tcBorders>
            <w:shd w:val="clear" w:color="auto" w:fill="auto"/>
            <w:vAlign w:val="center"/>
          </w:tcPr>
          <w:p w:rsidR="0019180C" w:rsidRDefault="0019180C">
            <w:pPr>
              <w:suppressAutoHyphens/>
              <w:jc w:val="center"/>
              <w:rPr>
                <w:spacing w:val="-3"/>
              </w:rPr>
            </w:pPr>
            <w:r>
              <w:rPr>
                <w:noProof/>
                <w:spacing w:val="-3"/>
              </w:rPr>
              <w:t>PM</w:t>
            </w:r>
            <w:r>
              <w:rPr>
                <w:noProof/>
                <w:spacing w:val="-3"/>
                <w:vertAlign w:val="subscript"/>
              </w:rPr>
              <w:t>10</w:t>
            </w:r>
          </w:p>
        </w:tc>
        <w:tc>
          <w:tcPr>
            <w:tcW w:w="4050" w:type="dxa"/>
            <w:tcBorders>
              <w:right w:val="double" w:sz="4" w:space="0" w:color="auto"/>
            </w:tcBorders>
            <w:shd w:val="clear" w:color="auto" w:fill="auto"/>
            <w:vAlign w:val="center"/>
          </w:tcPr>
          <w:p w:rsidR="0019180C" w:rsidRDefault="0019180C">
            <w:pPr>
              <w:suppressAutoHyphens/>
              <w:jc w:val="center"/>
              <w:rPr>
                <w:spacing w:val="-3"/>
              </w:rPr>
            </w:pPr>
            <w:r>
              <w:rPr>
                <w:spacing w:val="-3"/>
              </w:rPr>
              <w:t>0.0076</w:t>
            </w:r>
          </w:p>
        </w:tc>
      </w:tr>
      <w:tr w:rsidR="0019180C" w:rsidTr="00B031E6">
        <w:tc>
          <w:tcPr>
            <w:tcW w:w="3060" w:type="dxa"/>
            <w:tcBorders>
              <w:left w:val="double" w:sz="4" w:space="0" w:color="auto"/>
            </w:tcBorders>
            <w:shd w:val="clear" w:color="auto" w:fill="auto"/>
            <w:vAlign w:val="center"/>
          </w:tcPr>
          <w:p w:rsidR="0019180C" w:rsidRDefault="0019180C">
            <w:pPr>
              <w:suppressAutoHyphens/>
              <w:jc w:val="center"/>
              <w:rPr>
                <w:spacing w:val="-3"/>
              </w:rPr>
            </w:pPr>
            <w:r>
              <w:rPr>
                <w:spacing w:val="-3"/>
              </w:rPr>
              <w:t>CO</w:t>
            </w:r>
          </w:p>
        </w:tc>
        <w:tc>
          <w:tcPr>
            <w:tcW w:w="4050" w:type="dxa"/>
            <w:tcBorders>
              <w:right w:val="double" w:sz="4" w:space="0" w:color="auto"/>
            </w:tcBorders>
            <w:shd w:val="clear" w:color="auto" w:fill="auto"/>
            <w:vAlign w:val="center"/>
          </w:tcPr>
          <w:p w:rsidR="0019180C" w:rsidRDefault="0019180C">
            <w:pPr>
              <w:suppressAutoHyphens/>
              <w:jc w:val="center"/>
              <w:rPr>
                <w:spacing w:val="-3"/>
              </w:rPr>
            </w:pPr>
            <w:r>
              <w:rPr>
                <w:spacing w:val="-3"/>
              </w:rPr>
              <w:t>0.084</w:t>
            </w:r>
          </w:p>
        </w:tc>
      </w:tr>
      <w:tr w:rsidR="0019180C" w:rsidTr="00B031E6">
        <w:tc>
          <w:tcPr>
            <w:tcW w:w="3060" w:type="dxa"/>
            <w:tcBorders>
              <w:left w:val="double" w:sz="4" w:space="0" w:color="auto"/>
              <w:bottom w:val="double" w:sz="4" w:space="0" w:color="auto"/>
            </w:tcBorders>
            <w:shd w:val="clear" w:color="auto" w:fill="auto"/>
            <w:vAlign w:val="center"/>
          </w:tcPr>
          <w:p w:rsidR="0019180C" w:rsidRDefault="0019180C">
            <w:pPr>
              <w:suppressAutoHyphens/>
              <w:jc w:val="center"/>
              <w:rPr>
                <w:spacing w:val="-3"/>
              </w:rPr>
            </w:pPr>
            <w:r>
              <w:rPr>
                <w:noProof/>
                <w:spacing w:val="-3"/>
              </w:rPr>
              <w:t>VOC</w:t>
            </w:r>
          </w:p>
        </w:tc>
        <w:tc>
          <w:tcPr>
            <w:tcW w:w="4050" w:type="dxa"/>
            <w:tcBorders>
              <w:bottom w:val="double" w:sz="4" w:space="0" w:color="auto"/>
              <w:right w:val="double" w:sz="4" w:space="0" w:color="auto"/>
            </w:tcBorders>
            <w:shd w:val="clear" w:color="auto" w:fill="auto"/>
            <w:vAlign w:val="center"/>
          </w:tcPr>
          <w:p w:rsidR="0019180C" w:rsidRDefault="0019180C">
            <w:pPr>
              <w:suppressAutoHyphens/>
              <w:jc w:val="center"/>
              <w:rPr>
                <w:spacing w:val="-3"/>
              </w:rPr>
            </w:pPr>
            <w:r>
              <w:rPr>
                <w:spacing w:val="-3"/>
              </w:rPr>
              <w:t>0.0055</w:t>
            </w:r>
          </w:p>
        </w:tc>
      </w:tr>
    </w:tbl>
    <w:p w:rsidR="0019180C" w:rsidRDefault="0019180C">
      <w:pPr>
        <w:pStyle w:val="FootnoteText"/>
        <w:rPr>
          <w:rFonts w:ascii="Arial" w:hAnsi="Arial"/>
        </w:rPr>
      </w:pPr>
    </w:p>
    <w:p w:rsidR="0019180C" w:rsidRDefault="0019180C">
      <w:pPr>
        <w:tabs>
          <w:tab w:val="left" w:pos="360"/>
        </w:tabs>
        <w:ind w:left="360"/>
        <w:rPr>
          <w:u w:val="single"/>
        </w:rPr>
      </w:pPr>
      <w:r>
        <w:rPr>
          <w:u w:val="single"/>
        </w:rPr>
        <w:t xml:space="preserve">Liquid Petroleum Gas </w:t>
      </w:r>
    </w:p>
    <w:p w:rsidR="0019180C" w:rsidRDefault="0019180C">
      <w:pPr>
        <w:pStyle w:val="FootnoteText"/>
        <w:ind w:left="720"/>
        <w:rPr>
          <w:rFonts w:ascii="Arial" w:hAnsi="Arial" w:cs="Arial"/>
          <w:spacing w:val="-3"/>
          <w:szCs w:val="24"/>
        </w:rPr>
      </w:pPr>
    </w:p>
    <w:p w:rsidR="0019180C" w:rsidRDefault="0019180C">
      <w:pPr>
        <w:suppressAutoHyphens/>
        <w:ind w:left="360"/>
        <w:jc w:val="both"/>
        <w:rPr>
          <w:spacing w:val="-3"/>
        </w:rPr>
      </w:pPr>
      <w:r>
        <w:rPr>
          <w:rFonts w:cs="Arial"/>
          <w:spacing w:val="-3"/>
          <w:szCs w:val="24"/>
        </w:rPr>
        <w:t>The following emission factors for NOx, CO, VOC, and PM</w:t>
      </w:r>
      <w:r>
        <w:rPr>
          <w:rFonts w:cs="Arial"/>
          <w:spacing w:val="-3"/>
          <w:szCs w:val="24"/>
          <w:vertAlign w:val="subscript"/>
        </w:rPr>
        <w:t>10</w:t>
      </w:r>
      <w:r>
        <w:rPr>
          <w:rFonts w:cs="Arial"/>
          <w:spacing w:val="-3"/>
          <w:szCs w:val="24"/>
        </w:rPr>
        <w:t xml:space="preserve"> are from AP-42 (7/98), </w:t>
      </w:r>
      <w:r>
        <w:rPr>
          <w:rFonts w:cs="Arial"/>
          <w:spacing w:val="-3"/>
        </w:rPr>
        <w:t xml:space="preserve">Table 1.5-1 for LPG combustion.  </w:t>
      </w:r>
      <w:r>
        <w:rPr>
          <w:spacing w:val="-3"/>
        </w:rPr>
        <w:tab/>
      </w:r>
    </w:p>
    <w:p w:rsidR="0019180C" w:rsidRDefault="0019180C">
      <w:pPr>
        <w:pStyle w:val="FootnoteText"/>
        <w:ind w:left="720"/>
        <w:rPr>
          <w:rFonts w:ascii="Arial" w:hAnsi="Arial" w:cs="Arial"/>
          <w:spacing w:val="-3"/>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4050"/>
      </w:tblGrid>
      <w:tr w:rsidR="0019180C" w:rsidTr="00B031E6">
        <w:trPr>
          <w:cantSplit/>
        </w:trPr>
        <w:tc>
          <w:tcPr>
            <w:tcW w:w="7110" w:type="dxa"/>
            <w:gridSpan w:val="2"/>
            <w:tcBorders>
              <w:top w:val="double" w:sz="4" w:space="0" w:color="auto"/>
              <w:left w:val="double" w:sz="4" w:space="0" w:color="auto"/>
              <w:bottom w:val="double" w:sz="4" w:space="0" w:color="auto"/>
              <w:right w:val="double" w:sz="4" w:space="0" w:color="auto"/>
            </w:tcBorders>
            <w:shd w:val="clear" w:color="auto" w:fill="auto"/>
          </w:tcPr>
          <w:p w:rsidR="0019180C" w:rsidRDefault="0019180C">
            <w:pPr>
              <w:pStyle w:val="FootnoteText"/>
              <w:keepNext/>
              <w:suppressAutoHyphens/>
              <w:jc w:val="center"/>
              <w:rPr>
                <w:rFonts w:ascii="Arial" w:hAnsi="Arial" w:cs="Arial"/>
                <w:b/>
                <w:bCs/>
                <w:spacing w:val="-3"/>
                <w:szCs w:val="24"/>
              </w:rPr>
            </w:pPr>
            <w:r>
              <w:rPr>
                <w:rFonts w:ascii="Arial" w:hAnsi="Arial" w:cs="Arial"/>
                <w:b/>
                <w:bCs/>
                <w:spacing w:val="-3"/>
                <w:szCs w:val="24"/>
              </w:rPr>
              <w:t>Emission Factors</w:t>
            </w:r>
          </w:p>
        </w:tc>
      </w:tr>
      <w:tr w:rsidR="0019180C" w:rsidTr="00B031E6">
        <w:trPr>
          <w:trHeight w:val="56"/>
        </w:trPr>
        <w:tc>
          <w:tcPr>
            <w:tcW w:w="3060" w:type="dxa"/>
            <w:tcBorders>
              <w:top w:val="double" w:sz="4" w:space="0" w:color="auto"/>
              <w:left w:val="double" w:sz="4" w:space="0" w:color="auto"/>
            </w:tcBorders>
            <w:shd w:val="clear" w:color="auto" w:fill="auto"/>
            <w:vAlign w:val="center"/>
          </w:tcPr>
          <w:p w:rsidR="0019180C" w:rsidRDefault="0019180C">
            <w:pPr>
              <w:pStyle w:val="FootnoteText"/>
              <w:keepNext/>
              <w:suppressAutoHyphens/>
              <w:jc w:val="center"/>
              <w:rPr>
                <w:rFonts w:ascii="Arial" w:hAnsi="Arial" w:cs="Arial"/>
                <w:spacing w:val="-3"/>
                <w:szCs w:val="24"/>
              </w:rPr>
            </w:pPr>
            <w:r>
              <w:rPr>
                <w:rFonts w:ascii="Arial" w:hAnsi="Arial" w:cs="Arial"/>
                <w:spacing w:val="-3"/>
                <w:szCs w:val="24"/>
              </w:rPr>
              <w:t>Pollutant</w:t>
            </w:r>
          </w:p>
        </w:tc>
        <w:tc>
          <w:tcPr>
            <w:tcW w:w="4050" w:type="dxa"/>
            <w:tcBorders>
              <w:top w:val="double" w:sz="4" w:space="0" w:color="auto"/>
              <w:right w:val="double" w:sz="4" w:space="0" w:color="auto"/>
            </w:tcBorders>
            <w:shd w:val="clear" w:color="auto" w:fill="auto"/>
            <w:vAlign w:val="center"/>
          </w:tcPr>
          <w:p w:rsidR="0019180C" w:rsidRDefault="0019180C">
            <w:pPr>
              <w:keepNext/>
              <w:suppressAutoHyphens/>
              <w:jc w:val="center"/>
              <w:rPr>
                <w:spacing w:val="-3"/>
              </w:rPr>
            </w:pPr>
            <w:r>
              <w:rPr>
                <w:spacing w:val="-3"/>
              </w:rPr>
              <w:t>EF</w:t>
            </w:r>
            <w:r>
              <w:rPr>
                <w:spacing w:val="-3"/>
                <w:vertAlign w:val="subscript"/>
              </w:rPr>
              <w:t>(LPG)</w:t>
            </w:r>
            <w:r>
              <w:rPr>
                <w:spacing w:val="-3"/>
                <w:vertAlign w:val="superscript"/>
              </w:rPr>
              <w:t xml:space="preserve"> </w:t>
            </w:r>
            <w:r>
              <w:rPr>
                <w:rStyle w:val="FootnoteReference"/>
                <w:spacing w:val="-3"/>
              </w:rPr>
              <w:footnoteReference w:id="2"/>
            </w:r>
            <w:r>
              <w:rPr>
                <w:spacing w:val="-3"/>
                <w:vertAlign w:val="superscript"/>
              </w:rPr>
              <w:t xml:space="preserve"> </w:t>
            </w:r>
            <w:r>
              <w:rPr>
                <w:spacing w:val="-3"/>
              </w:rPr>
              <w:t>(lb/MMBtu)</w:t>
            </w:r>
          </w:p>
        </w:tc>
      </w:tr>
      <w:tr w:rsidR="0019180C" w:rsidTr="00B031E6">
        <w:tc>
          <w:tcPr>
            <w:tcW w:w="3060" w:type="dxa"/>
            <w:tcBorders>
              <w:left w:val="double" w:sz="4" w:space="0" w:color="auto"/>
            </w:tcBorders>
            <w:shd w:val="clear" w:color="auto" w:fill="auto"/>
            <w:vAlign w:val="center"/>
          </w:tcPr>
          <w:p w:rsidR="0019180C" w:rsidRDefault="0019180C">
            <w:pPr>
              <w:keepNext/>
              <w:suppressAutoHyphens/>
              <w:jc w:val="center"/>
              <w:rPr>
                <w:spacing w:val="-3"/>
              </w:rPr>
            </w:pPr>
            <w:r>
              <w:rPr>
                <w:noProof/>
                <w:spacing w:val="-3"/>
              </w:rPr>
              <w:t>NO</w:t>
            </w:r>
            <w:r>
              <w:rPr>
                <w:noProof/>
                <w:spacing w:val="-3"/>
                <w:vertAlign w:val="subscript"/>
              </w:rPr>
              <w:t>x</w:t>
            </w:r>
          </w:p>
        </w:tc>
        <w:tc>
          <w:tcPr>
            <w:tcW w:w="4050" w:type="dxa"/>
            <w:tcBorders>
              <w:right w:val="double" w:sz="4" w:space="0" w:color="auto"/>
            </w:tcBorders>
            <w:shd w:val="clear" w:color="auto" w:fill="auto"/>
            <w:vAlign w:val="center"/>
          </w:tcPr>
          <w:p w:rsidR="0019180C" w:rsidRDefault="0019180C">
            <w:pPr>
              <w:keepNext/>
              <w:suppressAutoHyphens/>
              <w:jc w:val="center"/>
              <w:rPr>
                <w:spacing w:val="-3"/>
              </w:rPr>
            </w:pPr>
            <w:r>
              <w:rPr>
                <w:spacing w:val="-3"/>
              </w:rPr>
              <w:t>0.15</w:t>
            </w:r>
          </w:p>
        </w:tc>
      </w:tr>
      <w:tr w:rsidR="0019180C" w:rsidTr="00B031E6">
        <w:tc>
          <w:tcPr>
            <w:tcW w:w="3060" w:type="dxa"/>
            <w:tcBorders>
              <w:left w:val="double" w:sz="4" w:space="0" w:color="auto"/>
            </w:tcBorders>
            <w:shd w:val="clear" w:color="auto" w:fill="auto"/>
            <w:vAlign w:val="center"/>
          </w:tcPr>
          <w:p w:rsidR="0019180C" w:rsidRDefault="0019180C">
            <w:pPr>
              <w:keepNext/>
              <w:suppressAutoHyphens/>
              <w:jc w:val="center"/>
              <w:rPr>
                <w:spacing w:val="-3"/>
                <w:vertAlign w:val="superscript"/>
              </w:rPr>
            </w:pPr>
            <w:r>
              <w:rPr>
                <w:noProof/>
                <w:spacing w:val="-3"/>
              </w:rPr>
              <w:t>SO</w:t>
            </w:r>
            <w:r>
              <w:rPr>
                <w:noProof/>
                <w:spacing w:val="-3"/>
                <w:vertAlign w:val="subscript"/>
              </w:rPr>
              <w:t>x</w:t>
            </w:r>
          </w:p>
        </w:tc>
        <w:tc>
          <w:tcPr>
            <w:tcW w:w="4050" w:type="dxa"/>
            <w:tcBorders>
              <w:right w:val="double" w:sz="4" w:space="0" w:color="auto"/>
            </w:tcBorders>
            <w:shd w:val="clear" w:color="auto" w:fill="auto"/>
            <w:vAlign w:val="center"/>
          </w:tcPr>
          <w:p w:rsidR="0019180C" w:rsidRDefault="0019180C">
            <w:pPr>
              <w:keepNext/>
              <w:suppressAutoHyphens/>
              <w:jc w:val="center"/>
              <w:rPr>
                <w:spacing w:val="-3"/>
                <w:vertAlign w:val="superscript"/>
              </w:rPr>
            </w:pPr>
            <w:r>
              <w:rPr>
                <w:spacing w:val="-3"/>
              </w:rPr>
              <w:t>0.0164</w:t>
            </w:r>
            <w:r>
              <w:rPr>
                <w:rStyle w:val="FootnoteReference"/>
                <w:spacing w:val="-3"/>
              </w:rPr>
              <w:footnoteReference w:id="3"/>
            </w:r>
          </w:p>
        </w:tc>
      </w:tr>
      <w:tr w:rsidR="0019180C" w:rsidTr="00B031E6">
        <w:tc>
          <w:tcPr>
            <w:tcW w:w="3060" w:type="dxa"/>
            <w:tcBorders>
              <w:left w:val="double" w:sz="4" w:space="0" w:color="auto"/>
            </w:tcBorders>
            <w:shd w:val="clear" w:color="auto" w:fill="auto"/>
            <w:vAlign w:val="center"/>
          </w:tcPr>
          <w:p w:rsidR="0019180C" w:rsidRDefault="0019180C">
            <w:pPr>
              <w:keepNext/>
              <w:suppressAutoHyphens/>
              <w:jc w:val="center"/>
              <w:rPr>
                <w:spacing w:val="-3"/>
              </w:rPr>
            </w:pPr>
            <w:r>
              <w:rPr>
                <w:noProof/>
                <w:spacing w:val="-3"/>
              </w:rPr>
              <w:t>PM</w:t>
            </w:r>
            <w:r>
              <w:rPr>
                <w:noProof/>
                <w:spacing w:val="-3"/>
                <w:vertAlign w:val="subscript"/>
              </w:rPr>
              <w:t>10</w:t>
            </w:r>
          </w:p>
        </w:tc>
        <w:tc>
          <w:tcPr>
            <w:tcW w:w="4050" w:type="dxa"/>
            <w:tcBorders>
              <w:right w:val="double" w:sz="4" w:space="0" w:color="auto"/>
            </w:tcBorders>
            <w:shd w:val="clear" w:color="auto" w:fill="auto"/>
            <w:vAlign w:val="center"/>
          </w:tcPr>
          <w:p w:rsidR="0019180C" w:rsidRDefault="0019180C">
            <w:pPr>
              <w:keepNext/>
              <w:suppressAutoHyphens/>
              <w:jc w:val="center"/>
              <w:rPr>
                <w:spacing w:val="-3"/>
              </w:rPr>
            </w:pPr>
            <w:r>
              <w:rPr>
                <w:spacing w:val="-3"/>
              </w:rPr>
              <w:t>0.0044</w:t>
            </w:r>
          </w:p>
        </w:tc>
      </w:tr>
      <w:tr w:rsidR="0019180C" w:rsidTr="00B031E6">
        <w:tc>
          <w:tcPr>
            <w:tcW w:w="3060" w:type="dxa"/>
            <w:tcBorders>
              <w:left w:val="double" w:sz="4" w:space="0" w:color="auto"/>
            </w:tcBorders>
            <w:shd w:val="clear" w:color="auto" w:fill="auto"/>
            <w:vAlign w:val="center"/>
          </w:tcPr>
          <w:p w:rsidR="0019180C" w:rsidRDefault="0019180C">
            <w:pPr>
              <w:keepNext/>
              <w:suppressAutoHyphens/>
              <w:jc w:val="center"/>
              <w:rPr>
                <w:spacing w:val="-3"/>
              </w:rPr>
            </w:pPr>
            <w:r>
              <w:rPr>
                <w:spacing w:val="-3"/>
              </w:rPr>
              <w:t>CO</w:t>
            </w:r>
          </w:p>
        </w:tc>
        <w:tc>
          <w:tcPr>
            <w:tcW w:w="4050" w:type="dxa"/>
            <w:tcBorders>
              <w:right w:val="double" w:sz="4" w:space="0" w:color="auto"/>
            </w:tcBorders>
            <w:shd w:val="clear" w:color="auto" w:fill="auto"/>
            <w:vAlign w:val="center"/>
          </w:tcPr>
          <w:p w:rsidR="0019180C" w:rsidRDefault="0019180C">
            <w:pPr>
              <w:keepNext/>
              <w:suppressAutoHyphens/>
              <w:jc w:val="center"/>
              <w:rPr>
                <w:spacing w:val="-3"/>
              </w:rPr>
            </w:pPr>
            <w:r>
              <w:rPr>
                <w:spacing w:val="-3"/>
              </w:rPr>
              <w:t>0.021</w:t>
            </w:r>
          </w:p>
        </w:tc>
      </w:tr>
      <w:tr w:rsidR="0019180C" w:rsidTr="00B031E6">
        <w:tc>
          <w:tcPr>
            <w:tcW w:w="3060" w:type="dxa"/>
            <w:tcBorders>
              <w:left w:val="double" w:sz="4" w:space="0" w:color="auto"/>
              <w:bottom w:val="double" w:sz="4" w:space="0" w:color="auto"/>
            </w:tcBorders>
            <w:shd w:val="clear" w:color="auto" w:fill="auto"/>
            <w:vAlign w:val="center"/>
          </w:tcPr>
          <w:p w:rsidR="0019180C" w:rsidRDefault="0019180C">
            <w:pPr>
              <w:keepNext/>
              <w:suppressAutoHyphens/>
              <w:jc w:val="center"/>
              <w:rPr>
                <w:spacing w:val="-3"/>
              </w:rPr>
            </w:pPr>
            <w:r>
              <w:rPr>
                <w:noProof/>
                <w:spacing w:val="-3"/>
              </w:rPr>
              <w:t>VOC</w:t>
            </w:r>
            <w:r>
              <w:rPr>
                <w:noProof/>
                <w:spacing w:val="-3"/>
                <w:vertAlign w:val="subscript"/>
              </w:rPr>
              <w:t>(non-methane)</w:t>
            </w:r>
          </w:p>
        </w:tc>
        <w:tc>
          <w:tcPr>
            <w:tcW w:w="4050" w:type="dxa"/>
            <w:tcBorders>
              <w:bottom w:val="double" w:sz="4" w:space="0" w:color="auto"/>
              <w:right w:val="double" w:sz="4" w:space="0" w:color="auto"/>
            </w:tcBorders>
            <w:shd w:val="clear" w:color="auto" w:fill="auto"/>
            <w:vAlign w:val="center"/>
          </w:tcPr>
          <w:p w:rsidR="0019180C" w:rsidRDefault="0019180C">
            <w:pPr>
              <w:keepNext/>
              <w:suppressAutoHyphens/>
              <w:jc w:val="center"/>
              <w:rPr>
                <w:spacing w:val="-3"/>
              </w:rPr>
            </w:pPr>
            <w:r>
              <w:rPr>
                <w:spacing w:val="-3"/>
              </w:rPr>
              <w:t>0.0055</w:t>
            </w:r>
          </w:p>
        </w:tc>
      </w:tr>
    </w:tbl>
    <w:p w:rsidR="0019180C" w:rsidRDefault="0019180C"/>
    <w:p w:rsidR="0019180C" w:rsidRDefault="0019180C">
      <w:pPr>
        <w:pStyle w:val="Heading2"/>
      </w:pPr>
      <w:r>
        <w:t>Calculations</w:t>
      </w:r>
    </w:p>
    <w:p w:rsidR="0019180C" w:rsidRDefault="0019180C">
      <w:pPr>
        <w:suppressAutoHyphens/>
        <w:ind w:left="720"/>
        <w:jc w:val="both"/>
        <w:rPr>
          <w:spacing w:val="-3"/>
        </w:rPr>
      </w:pPr>
    </w:p>
    <w:p w:rsidR="0019180C" w:rsidRDefault="0019180C">
      <w:pPr>
        <w:pStyle w:val="Heading3"/>
      </w:pPr>
      <w:r>
        <w:t>Pre-Project Potential to Emit (PE1)</w:t>
      </w:r>
    </w:p>
    <w:p w:rsidR="0019180C" w:rsidRDefault="0019180C">
      <w:pPr>
        <w:suppressAutoHyphens/>
        <w:jc w:val="both"/>
        <w:rPr>
          <w:spacing w:val="-3"/>
        </w:rPr>
      </w:pPr>
    </w:p>
    <w:p w:rsidR="0019180C" w:rsidRDefault="0019180C">
      <w:pPr>
        <w:suppressAutoHyphens/>
        <w:ind w:left="720"/>
        <w:jc w:val="both"/>
        <w:rPr>
          <w:spacing w:val="-3"/>
        </w:rPr>
      </w:pPr>
      <w:r>
        <w:rPr>
          <w:spacing w:val="-3"/>
        </w:rPr>
        <w:t>Since this is a new emissions unit, the PE1 = 0</w:t>
      </w:r>
    </w:p>
    <w:p w:rsidR="0019180C" w:rsidRDefault="0019180C">
      <w:pPr>
        <w:suppressAutoHyphens/>
        <w:ind w:left="1440"/>
        <w:jc w:val="both"/>
        <w:rPr>
          <w:spacing w:val="-3"/>
        </w:rPr>
      </w:pPr>
    </w:p>
    <w:p w:rsidR="0019180C" w:rsidRDefault="005F5702">
      <w:pPr>
        <w:suppressAutoHyphens/>
        <w:jc w:val="both"/>
        <w:rPr>
          <w:i/>
          <w:iCs/>
          <w:color w:val="FF0000"/>
          <w:spacing w:val="-3"/>
        </w:rPr>
      </w:pPr>
      <w:r>
        <w:rPr>
          <w:spacing w:val="-3"/>
        </w:rPr>
        <w:tab/>
      </w:r>
      <w:r>
        <w:rPr>
          <w:i/>
          <w:iCs/>
          <w:color w:val="FF0000"/>
          <w:spacing w:val="-3"/>
        </w:rPr>
        <w:t>Or, For Modifications (Otherwise Delete);</w:t>
      </w:r>
    </w:p>
    <w:p w:rsidR="0019180C" w:rsidRDefault="0019180C">
      <w:pPr>
        <w:suppressAutoHyphens/>
        <w:jc w:val="both"/>
        <w:rPr>
          <w:i/>
          <w:iCs/>
          <w:color w:val="FF0000"/>
          <w:spacing w:val="-3"/>
        </w:rPr>
      </w:pPr>
    </w:p>
    <w:p w:rsidR="0019180C" w:rsidRDefault="0019180C">
      <w:pPr>
        <w:suppressAutoHyphens/>
        <w:ind w:left="720"/>
        <w:jc w:val="both"/>
        <w:rPr>
          <w:color w:val="FF0000"/>
          <w:spacing w:val="-3"/>
        </w:rPr>
      </w:pPr>
      <w:r>
        <w:rPr>
          <w:color w:val="000000"/>
        </w:rPr>
        <w:t>The daily, annual, and quarterly pre-project emissions are shown below:</w:t>
      </w:r>
    </w:p>
    <w:p w:rsidR="0019180C" w:rsidRDefault="0019180C">
      <w:pPr>
        <w:suppressAutoHyphens/>
        <w:jc w:val="both"/>
        <w:rPr>
          <w:color w:val="FF0000"/>
          <w:spacing w:val="-3"/>
        </w:rPr>
      </w:pPr>
    </w:p>
    <w:tbl>
      <w:tblPr>
        <w:tblW w:w="0" w:type="auto"/>
        <w:tblInd w:w="1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00"/>
        <w:gridCol w:w="1620"/>
        <w:gridCol w:w="1800"/>
        <w:gridCol w:w="1800"/>
      </w:tblGrid>
      <w:tr w:rsidR="0019180C" w:rsidTr="00B031E6">
        <w:trPr>
          <w:cantSplit/>
          <w:trHeight w:val="428"/>
        </w:trPr>
        <w:tc>
          <w:tcPr>
            <w:tcW w:w="7020" w:type="dxa"/>
            <w:gridSpan w:val="4"/>
            <w:tcBorders>
              <w:top w:val="double" w:sz="4" w:space="0" w:color="auto"/>
              <w:left w:val="double" w:sz="4" w:space="0" w:color="auto"/>
              <w:bottom w:val="double" w:sz="6" w:space="0" w:color="000000"/>
              <w:right w:val="double" w:sz="4" w:space="0" w:color="auto"/>
            </w:tcBorders>
            <w:shd w:val="clear" w:color="auto" w:fill="auto"/>
            <w:vAlign w:val="center"/>
          </w:tcPr>
          <w:p w:rsidR="0019180C" w:rsidRDefault="0019180C">
            <w:pPr>
              <w:keepNext/>
              <w:keepLines/>
              <w:spacing w:before="40" w:after="40"/>
              <w:jc w:val="center"/>
              <w:rPr>
                <w:b/>
                <w:bCs/>
                <w:vertAlign w:val="subscript"/>
              </w:rPr>
            </w:pPr>
            <w:r>
              <w:rPr>
                <w:b/>
                <w:bCs/>
              </w:rPr>
              <w:t>Pre-Project Potential to Emit (PE1)</w:t>
            </w:r>
          </w:p>
        </w:tc>
      </w:tr>
      <w:tr w:rsidR="0019180C" w:rsidTr="00B031E6">
        <w:trPr>
          <w:cantSplit/>
          <w:trHeight w:val="122"/>
        </w:trPr>
        <w:tc>
          <w:tcPr>
            <w:tcW w:w="1800" w:type="dxa"/>
            <w:tcBorders>
              <w:top w:val="double" w:sz="6" w:space="0" w:color="000000"/>
              <w:left w:val="double" w:sz="4" w:space="0" w:color="auto"/>
              <w:bottom w:val="double" w:sz="6" w:space="0" w:color="000000"/>
            </w:tcBorders>
            <w:shd w:val="clear" w:color="auto" w:fill="auto"/>
            <w:vAlign w:val="center"/>
          </w:tcPr>
          <w:p w:rsidR="0019180C" w:rsidRDefault="0019180C">
            <w:pPr>
              <w:jc w:val="center"/>
              <w:rPr>
                <w:b/>
                <w:bCs/>
              </w:rPr>
            </w:pPr>
          </w:p>
        </w:tc>
        <w:tc>
          <w:tcPr>
            <w:tcW w:w="1620" w:type="dxa"/>
            <w:tcBorders>
              <w:top w:val="double" w:sz="6" w:space="0" w:color="000000"/>
              <w:bottom w:val="double" w:sz="6" w:space="0" w:color="000000"/>
            </w:tcBorders>
            <w:shd w:val="clear" w:color="auto" w:fill="auto"/>
            <w:vAlign w:val="center"/>
          </w:tcPr>
          <w:p w:rsidR="0019180C" w:rsidRDefault="0019180C">
            <w:pPr>
              <w:keepNext/>
              <w:keepLines/>
              <w:jc w:val="center"/>
              <w:rPr>
                <w:b/>
                <w:bCs/>
              </w:rPr>
            </w:pPr>
            <w:r>
              <w:rPr>
                <w:b/>
                <w:bCs/>
              </w:rPr>
              <w:t>Daily PE</w:t>
            </w:r>
          </w:p>
        </w:tc>
        <w:tc>
          <w:tcPr>
            <w:tcW w:w="1800" w:type="dxa"/>
            <w:tcBorders>
              <w:top w:val="double" w:sz="6" w:space="0" w:color="000000"/>
              <w:bottom w:val="double" w:sz="6" w:space="0" w:color="000000"/>
            </w:tcBorders>
            <w:shd w:val="clear" w:color="auto" w:fill="auto"/>
            <w:vAlign w:val="center"/>
          </w:tcPr>
          <w:p w:rsidR="0019180C" w:rsidRDefault="0019180C">
            <w:pPr>
              <w:keepNext/>
              <w:keepLines/>
              <w:jc w:val="center"/>
              <w:rPr>
                <w:b/>
                <w:bCs/>
              </w:rPr>
            </w:pPr>
            <w:r>
              <w:rPr>
                <w:b/>
                <w:bCs/>
              </w:rPr>
              <w:t>Annual PE</w:t>
            </w:r>
          </w:p>
        </w:tc>
        <w:tc>
          <w:tcPr>
            <w:tcW w:w="1800" w:type="dxa"/>
            <w:tcBorders>
              <w:top w:val="double" w:sz="6" w:space="0" w:color="000000"/>
              <w:bottom w:val="double" w:sz="6" w:space="0" w:color="000000"/>
              <w:right w:val="double" w:sz="4" w:space="0" w:color="auto"/>
            </w:tcBorders>
            <w:shd w:val="clear" w:color="auto" w:fill="auto"/>
            <w:vAlign w:val="center"/>
          </w:tcPr>
          <w:p w:rsidR="0019180C" w:rsidRDefault="0019180C">
            <w:pPr>
              <w:keepNext/>
              <w:keepLines/>
              <w:jc w:val="center"/>
              <w:rPr>
                <w:b/>
                <w:bCs/>
              </w:rPr>
            </w:pPr>
            <w:r>
              <w:rPr>
                <w:b/>
                <w:bCs/>
              </w:rPr>
              <w:t>Quarterly PE</w:t>
            </w:r>
          </w:p>
        </w:tc>
      </w:tr>
      <w:tr w:rsidR="005F5702">
        <w:tc>
          <w:tcPr>
            <w:tcW w:w="1800" w:type="dxa"/>
            <w:tcBorders>
              <w:left w:val="double" w:sz="4" w:space="0" w:color="auto"/>
            </w:tcBorders>
          </w:tcPr>
          <w:p w:rsidR="005F5702" w:rsidRDefault="005F5702" w:rsidP="005F5702">
            <w:pPr>
              <w:suppressAutoHyphens/>
              <w:jc w:val="center"/>
              <w:rPr>
                <w:spacing w:val="-3"/>
              </w:rPr>
            </w:pPr>
            <w:r>
              <w:rPr>
                <w:spacing w:val="-3"/>
              </w:rPr>
              <w:t>NO</w:t>
            </w:r>
            <w:r>
              <w:rPr>
                <w:spacing w:val="-3"/>
                <w:vertAlign w:val="subscript"/>
              </w:rPr>
              <w:t>x</w:t>
            </w:r>
          </w:p>
        </w:tc>
        <w:tc>
          <w:tcPr>
            <w:tcW w:w="1620" w:type="dxa"/>
          </w:tcPr>
          <w:p w:rsidR="005F5702" w:rsidRDefault="005F5702" w:rsidP="005F5702">
            <w:pPr>
              <w:keepNext/>
              <w:keepLines/>
              <w:jc w:val="center"/>
            </w:pPr>
            <w:r>
              <w:rPr>
                <w:color w:val="0000FF"/>
              </w:rPr>
              <w:t>[  ]</w:t>
            </w:r>
          </w:p>
        </w:tc>
        <w:tc>
          <w:tcPr>
            <w:tcW w:w="1800" w:type="dxa"/>
          </w:tcPr>
          <w:p w:rsidR="005F5702" w:rsidRDefault="005F5702" w:rsidP="005F5702">
            <w:pPr>
              <w:keepNext/>
              <w:keepLines/>
              <w:jc w:val="center"/>
            </w:pPr>
            <w:r>
              <w:rPr>
                <w:color w:val="0000FF"/>
              </w:rPr>
              <w:t>[  ]</w:t>
            </w:r>
          </w:p>
        </w:tc>
        <w:tc>
          <w:tcPr>
            <w:tcW w:w="1800" w:type="dxa"/>
            <w:tcBorders>
              <w:right w:val="double" w:sz="4" w:space="0" w:color="auto"/>
            </w:tcBorders>
          </w:tcPr>
          <w:p w:rsidR="005F5702" w:rsidRDefault="005F5702" w:rsidP="005F5702">
            <w:pPr>
              <w:keepNext/>
              <w:keepLines/>
              <w:jc w:val="center"/>
            </w:pPr>
            <w:r>
              <w:rPr>
                <w:color w:val="0000FF"/>
              </w:rPr>
              <w:t>[  ]</w:t>
            </w:r>
          </w:p>
        </w:tc>
      </w:tr>
      <w:tr w:rsidR="005F5702">
        <w:tc>
          <w:tcPr>
            <w:tcW w:w="1800" w:type="dxa"/>
            <w:tcBorders>
              <w:left w:val="double" w:sz="4" w:space="0" w:color="auto"/>
            </w:tcBorders>
          </w:tcPr>
          <w:p w:rsidR="005F5702" w:rsidRDefault="005F5702" w:rsidP="005F5702">
            <w:pPr>
              <w:suppressAutoHyphens/>
              <w:jc w:val="center"/>
              <w:rPr>
                <w:spacing w:val="-3"/>
              </w:rPr>
            </w:pPr>
            <w:r>
              <w:rPr>
                <w:spacing w:val="-3"/>
              </w:rPr>
              <w:t>SO</w:t>
            </w:r>
            <w:r>
              <w:rPr>
                <w:spacing w:val="-3"/>
                <w:vertAlign w:val="subscript"/>
              </w:rPr>
              <w:t>x</w:t>
            </w:r>
          </w:p>
        </w:tc>
        <w:tc>
          <w:tcPr>
            <w:tcW w:w="1620" w:type="dxa"/>
          </w:tcPr>
          <w:p w:rsidR="005F5702" w:rsidRDefault="005F5702" w:rsidP="005F5702">
            <w:pPr>
              <w:keepNext/>
              <w:keepLines/>
              <w:jc w:val="center"/>
            </w:pPr>
            <w:r>
              <w:rPr>
                <w:color w:val="0000FF"/>
              </w:rPr>
              <w:t>[  ]</w:t>
            </w:r>
          </w:p>
        </w:tc>
        <w:tc>
          <w:tcPr>
            <w:tcW w:w="1800" w:type="dxa"/>
          </w:tcPr>
          <w:p w:rsidR="005F5702" w:rsidRDefault="005F5702" w:rsidP="005F5702">
            <w:pPr>
              <w:keepNext/>
              <w:keepLines/>
              <w:jc w:val="center"/>
            </w:pPr>
            <w:r>
              <w:rPr>
                <w:color w:val="0000FF"/>
              </w:rPr>
              <w:t>[  ]</w:t>
            </w:r>
          </w:p>
        </w:tc>
        <w:tc>
          <w:tcPr>
            <w:tcW w:w="1800" w:type="dxa"/>
            <w:tcBorders>
              <w:right w:val="double" w:sz="4" w:space="0" w:color="auto"/>
            </w:tcBorders>
          </w:tcPr>
          <w:p w:rsidR="005F5702" w:rsidRDefault="005F5702" w:rsidP="005F5702">
            <w:pPr>
              <w:keepNext/>
              <w:keepLines/>
              <w:jc w:val="center"/>
            </w:pPr>
            <w:r>
              <w:rPr>
                <w:color w:val="0000FF"/>
              </w:rPr>
              <w:t>[  ]</w:t>
            </w:r>
          </w:p>
        </w:tc>
      </w:tr>
      <w:tr w:rsidR="005F5702">
        <w:tc>
          <w:tcPr>
            <w:tcW w:w="1800" w:type="dxa"/>
            <w:tcBorders>
              <w:left w:val="double" w:sz="4" w:space="0" w:color="auto"/>
            </w:tcBorders>
          </w:tcPr>
          <w:p w:rsidR="005F5702" w:rsidRDefault="005F5702" w:rsidP="005F5702">
            <w:pPr>
              <w:suppressAutoHyphens/>
              <w:jc w:val="center"/>
              <w:rPr>
                <w:spacing w:val="-3"/>
              </w:rPr>
            </w:pPr>
            <w:r>
              <w:rPr>
                <w:spacing w:val="-3"/>
              </w:rPr>
              <w:t>PM</w:t>
            </w:r>
            <w:r>
              <w:rPr>
                <w:spacing w:val="-3"/>
                <w:vertAlign w:val="subscript"/>
              </w:rPr>
              <w:t>10</w:t>
            </w:r>
          </w:p>
        </w:tc>
        <w:tc>
          <w:tcPr>
            <w:tcW w:w="1620" w:type="dxa"/>
          </w:tcPr>
          <w:p w:rsidR="005F5702" w:rsidRDefault="005F5702" w:rsidP="005F5702">
            <w:pPr>
              <w:keepNext/>
              <w:keepLines/>
              <w:jc w:val="center"/>
            </w:pPr>
            <w:r>
              <w:rPr>
                <w:color w:val="0000FF"/>
              </w:rPr>
              <w:t>[  ]</w:t>
            </w:r>
          </w:p>
        </w:tc>
        <w:tc>
          <w:tcPr>
            <w:tcW w:w="1800" w:type="dxa"/>
          </w:tcPr>
          <w:p w:rsidR="005F5702" w:rsidRDefault="005F5702" w:rsidP="005F5702">
            <w:pPr>
              <w:keepNext/>
              <w:keepLines/>
              <w:jc w:val="center"/>
            </w:pPr>
            <w:r>
              <w:rPr>
                <w:color w:val="0000FF"/>
              </w:rPr>
              <w:t>[  ]</w:t>
            </w:r>
          </w:p>
        </w:tc>
        <w:tc>
          <w:tcPr>
            <w:tcW w:w="1800" w:type="dxa"/>
            <w:tcBorders>
              <w:right w:val="double" w:sz="4" w:space="0" w:color="auto"/>
            </w:tcBorders>
          </w:tcPr>
          <w:p w:rsidR="005F5702" w:rsidRDefault="005F5702" w:rsidP="005F5702">
            <w:pPr>
              <w:keepNext/>
              <w:keepLines/>
              <w:jc w:val="center"/>
            </w:pPr>
            <w:r>
              <w:rPr>
                <w:color w:val="0000FF"/>
              </w:rPr>
              <w:t>[  ]</w:t>
            </w:r>
          </w:p>
        </w:tc>
      </w:tr>
      <w:tr w:rsidR="005F5702">
        <w:tc>
          <w:tcPr>
            <w:tcW w:w="1800" w:type="dxa"/>
            <w:tcBorders>
              <w:left w:val="double" w:sz="4" w:space="0" w:color="auto"/>
            </w:tcBorders>
          </w:tcPr>
          <w:p w:rsidR="005F5702" w:rsidRDefault="005F5702" w:rsidP="005F5702">
            <w:pPr>
              <w:suppressAutoHyphens/>
              <w:jc w:val="center"/>
              <w:rPr>
                <w:spacing w:val="-3"/>
              </w:rPr>
            </w:pPr>
            <w:r>
              <w:rPr>
                <w:spacing w:val="-3"/>
              </w:rPr>
              <w:t>CO</w:t>
            </w:r>
          </w:p>
        </w:tc>
        <w:tc>
          <w:tcPr>
            <w:tcW w:w="1620" w:type="dxa"/>
          </w:tcPr>
          <w:p w:rsidR="005F5702" w:rsidRDefault="005F5702" w:rsidP="005F5702">
            <w:pPr>
              <w:keepNext/>
              <w:keepLines/>
              <w:jc w:val="center"/>
            </w:pPr>
            <w:r>
              <w:rPr>
                <w:color w:val="0000FF"/>
              </w:rPr>
              <w:t>[  ]</w:t>
            </w:r>
          </w:p>
        </w:tc>
        <w:tc>
          <w:tcPr>
            <w:tcW w:w="1800" w:type="dxa"/>
          </w:tcPr>
          <w:p w:rsidR="005F5702" w:rsidRDefault="005F5702" w:rsidP="005F5702">
            <w:pPr>
              <w:keepNext/>
              <w:keepLines/>
              <w:jc w:val="center"/>
            </w:pPr>
            <w:r>
              <w:rPr>
                <w:color w:val="0000FF"/>
              </w:rPr>
              <w:t>[  ]</w:t>
            </w:r>
          </w:p>
        </w:tc>
        <w:tc>
          <w:tcPr>
            <w:tcW w:w="1800" w:type="dxa"/>
            <w:tcBorders>
              <w:right w:val="double" w:sz="4" w:space="0" w:color="auto"/>
            </w:tcBorders>
          </w:tcPr>
          <w:p w:rsidR="005F5702" w:rsidRDefault="005F5702" w:rsidP="005F5702">
            <w:pPr>
              <w:keepNext/>
              <w:keepLines/>
              <w:jc w:val="center"/>
            </w:pPr>
            <w:r>
              <w:rPr>
                <w:color w:val="0000FF"/>
              </w:rPr>
              <w:t>[  ]</w:t>
            </w:r>
          </w:p>
        </w:tc>
      </w:tr>
      <w:tr w:rsidR="0019180C">
        <w:tc>
          <w:tcPr>
            <w:tcW w:w="1800" w:type="dxa"/>
            <w:tcBorders>
              <w:left w:val="double" w:sz="4" w:space="0" w:color="auto"/>
              <w:bottom w:val="double" w:sz="4" w:space="0" w:color="auto"/>
            </w:tcBorders>
          </w:tcPr>
          <w:p w:rsidR="0019180C" w:rsidRDefault="0019180C">
            <w:pPr>
              <w:suppressAutoHyphens/>
              <w:jc w:val="center"/>
              <w:rPr>
                <w:spacing w:val="-3"/>
              </w:rPr>
            </w:pPr>
            <w:r>
              <w:rPr>
                <w:spacing w:val="-3"/>
              </w:rPr>
              <w:t>VOC</w:t>
            </w:r>
          </w:p>
        </w:tc>
        <w:tc>
          <w:tcPr>
            <w:tcW w:w="1620" w:type="dxa"/>
            <w:tcBorders>
              <w:bottom w:val="double" w:sz="4" w:space="0" w:color="auto"/>
            </w:tcBorders>
          </w:tcPr>
          <w:p w:rsidR="0019180C" w:rsidRDefault="0019180C">
            <w:pPr>
              <w:keepNext/>
              <w:keepLines/>
              <w:framePr w:hSpace="187" w:wrap="notBeside" w:vAnchor="text" w:hAnchor="page" w:x="1970" w:y="73"/>
              <w:jc w:val="center"/>
              <w:rPr>
                <w:color w:val="0000FF"/>
              </w:rPr>
            </w:pPr>
            <w:r>
              <w:rPr>
                <w:color w:val="0000FF"/>
              </w:rPr>
              <w:t>[  ]</w:t>
            </w:r>
          </w:p>
        </w:tc>
        <w:tc>
          <w:tcPr>
            <w:tcW w:w="1800" w:type="dxa"/>
            <w:tcBorders>
              <w:bottom w:val="double" w:sz="4" w:space="0" w:color="auto"/>
            </w:tcBorders>
          </w:tcPr>
          <w:p w:rsidR="0019180C" w:rsidRDefault="0019180C">
            <w:pPr>
              <w:keepNext/>
              <w:keepLines/>
              <w:framePr w:hSpace="187" w:wrap="notBeside" w:vAnchor="text" w:hAnchor="page" w:x="1970" w:y="73"/>
              <w:jc w:val="center"/>
              <w:rPr>
                <w:color w:val="0000FF"/>
              </w:rPr>
            </w:pPr>
            <w:r>
              <w:rPr>
                <w:color w:val="0000FF"/>
              </w:rPr>
              <w:t>[  ]</w:t>
            </w:r>
          </w:p>
        </w:tc>
        <w:tc>
          <w:tcPr>
            <w:tcW w:w="1800" w:type="dxa"/>
            <w:tcBorders>
              <w:bottom w:val="double" w:sz="4" w:space="0" w:color="auto"/>
              <w:right w:val="double" w:sz="4" w:space="0" w:color="auto"/>
            </w:tcBorders>
          </w:tcPr>
          <w:p w:rsidR="0019180C" w:rsidRDefault="0019180C">
            <w:pPr>
              <w:keepNext/>
              <w:keepLines/>
              <w:framePr w:hSpace="187" w:wrap="notBeside" w:vAnchor="text" w:hAnchor="page" w:x="1970" w:y="73"/>
              <w:jc w:val="center"/>
              <w:rPr>
                <w:color w:val="0000FF"/>
              </w:rPr>
            </w:pPr>
            <w:r>
              <w:rPr>
                <w:color w:val="0000FF"/>
              </w:rPr>
              <w:t>[  ]</w:t>
            </w:r>
          </w:p>
        </w:tc>
      </w:tr>
    </w:tbl>
    <w:p w:rsidR="0019180C" w:rsidRDefault="0019180C">
      <w:pPr>
        <w:suppressAutoHyphens/>
        <w:jc w:val="both"/>
        <w:rPr>
          <w:spacing w:val="-3"/>
        </w:rPr>
      </w:pPr>
    </w:p>
    <w:p w:rsidR="0019180C" w:rsidRDefault="0019180C">
      <w:pPr>
        <w:pStyle w:val="Heading3"/>
      </w:pPr>
      <w:r>
        <w:t>Post Project Potential to Emit PE (PE2)</w:t>
      </w:r>
    </w:p>
    <w:p w:rsidR="0019180C" w:rsidRDefault="0019180C">
      <w:pPr>
        <w:suppressAutoHyphens/>
        <w:jc w:val="both"/>
        <w:rPr>
          <w:b/>
          <w:bCs/>
          <w:spacing w:val="-3"/>
        </w:rPr>
      </w:pPr>
    </w:p>
    <w:p w:rsidR="0019180C" w:rsidRDefault="0019180C">
      <w:pPr>
        <w:suppressAutoHyphens/>
        <w:ind w:left="720"/>
        <w:jc w:val="both"/>
        <w:rPr>
          <w:spacing w:val="-3"/>
          <w:u w:val="single"/>
        </w:rPr>
      </w:pPr>
      <w:r>
        <w:rPr>
          <w:spacing w:val="-3"/>
          <w:u w:val="single"/>
        </w:rPr>
        <w:t xml:space="preserve">Emissions from </w:t>
      </w:r>
      <w:r>
        <w:rPr>
          <w:color w:val="0000FF"/>
          <w:spacing w:val="-3"/>
          <w:u w:val="single"/>
        </w:rPr>
        <w:t>Thermal/Catalytic</w:t>
      </w:r>
      <w:r>
        <w:rPr>
          <w:spacing w:val="-3"/>
          <w:u w:val="single"/>
        </w:rPr>
        <w:t xml:space="preserve"> Oxidizer:</w:t>
      </w:r>
    </w:p>
    <w:p w:rsidR="0019180C" w:rsidRDefault="0019180C">
      <w:pPr>
        <w:suppressAutoHyphens/>
        <w:ind w:left="1080"/>
        <w:jc w:val="both"/>
        <w:rPr>
          <w:b/>
          <w:bCs/>
          <w:spacing w:val="-3"/>
        </w:rPr>
      </w:pPr>
    </w:p>
    <w:p w:rsidR="0019180C" w:rsidRDefault="0019180C">
      <w:pPr>
        <w:pStyle w:val="BodyTextIndent"/>
      </w:pPr>
      <w:r>
        <w:tab/>
      </w:r>
    </w:p>
    <w:tbl>
      <w:tblPr>
        <w:tblW w:w="0" w:type="auto"/>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90"/>
        <w:gridCol w:w="1080"/>
        <w:gridCol w:w="5670"/>
      </w:tblGrid>
      <w:tr w:rsidR="0019180C">
        <w:tc>
          <w:tcPr>
            <w:tcW w:w="2970" w:type="dxa"/>
            <w:gridSpan w:val="2"/>
          </w:tcPr>
          <w:p w:rsidR="0019180C" w:rsidRDefault="0019180C">
            <w:pPr>
              <w:keepNext/>
              <w:suppressAutoHyphens/>
              <w:jc w:val="right"/>
              <w:rPr>
                <w:spacing w:val="-3"/>
              </w:rPr>
            </w:pPr>
            <w:r>
              <w:rPr>
                <w:spacing w:val="-3"/>
              </w:rPr>
              <w:lastRenderedPageBreak/>
              <w:t xml:space="preserve">Control Efficiency: </w:t>
            </w:r>
          </w:p>
        </w:tc>
        <w:tc>
          <w:tcPr>
            <w:tcW w:w="5670" w:type="dxa"/>
          </w:tcPr>
          <w:p w:rsidR="0019180C" w:rsidRDefault="0019180C">
            <w:pPr>
              <w:keepNext/>
              <w:suppressAutoHyphens/>
              <w:rPr>
                <w:spacing w:val="-2"/>
                <w:sz w:val="19"/>
              </w:rPr>
            </w:pPr>
            <w:r>
              <w:rPr>
                <w:color w:val="0000FF"/>
                <w:spacing w:val="-3"/>
              </w:rPr>
              <w:t xml:space="preserve">[  ] </w:t>
            </w:r>
            <w:r>
              <w:rPr>
                <w:spacing w:val="-3"/>
              </w:rPr>
              <w:t xml:space="preserve">% </w:t>
            </w:r>
            <w:r>
              <w:rPr>
                <w:spacing w:val="-2"/>
                <w:sz w:val="20"/>
              </w:rPr>
              <w:t>(Per applicant, District BACT requirement: 95%)</w:t>
            </w:r>
          </w:p>
        </w:tc>
      </w:tr>
      <w:tr w:rsidR="0019180C">
        <w:tc>
          <w:tcPr>
            <w:tcW w:w="2970" w:type="dxa"/>
            <w:gridSpan w:val="2"/>
          </w:tcPr>
          <w:p w:rsidR="0019180C" w:rsidRDefault="0019180C">
            <w:pPr>
              <w:keepNext/>
              <w:suppressAutoHyphens/>
              <w:jc w:val="right"/>
              <w:rPr>
                <w:spacing w:val="-3"/>
              </w:rPr>
            </w:pPr>
            <w:r>
              <w:rPr>
                <w:spacing w:val="-3"/>
              </w:rPr>
              <w:t>Max. Influent Conc.:</w:t>
            </w:r>
          </w:p>
        </w:tc>
        <w:tc>
          <w:tcPr>
            <w:tcW w:w="5670" w:type="dxa"/>
          </w:tcPr>
          <w:p w:rsidR="0019180C" w:rsidRDefault="0019180C">
            <w:pPr>
              <w:keepNext/>
              <w:suppressAutoHyphens/>
              <w:rPr>
                <w:spacing w:val="-2"/>
                <w:sz w:val="20"/>
              </w:rPr>
            </w:pPr>
            <w:r>
              <w:rPr>
                <w:color w:val="0000FF"/>
                <w:spacing w:val="-3"/>
              </w:rPr>
              <w:t>[  ]</w:t>
            </w:r>
            <w:r>
              <w:rPr>
                <w:spacing w:val="-3"/>
              </w:rPr>
              <w:t xml:space="preserve"> ppmv as methane</w:t>
            </w:r>
          </w:p>
        </w:tc>
      </w:tr>
      <w:tr w:rsidR="0019180C">
        <w:tc>
          <w:tcPr>
            <w:tcW w:w="2970" w:type="dxa"/>
            <w:gridSpan w:val="2"/>
          </w:tcPr>
          <w:p w:rsidR="0019180C" w:rsidRDefault="0019180C">
            <w:pPr>
              <w:keepNext/>
              <w:suppressAutoHyphens/>
              <w:jc w:val="right"/>
              <w:rPr>
                <w:spacing w:val="-3"/>
              </w:rPr>
            </w:pPr>
            <w:r>
              <w:rPr>
                <w:spacing w:val="-3"/>
              </w:rPr>
              <w:t>Max. Effluent Conc.</w:t>
            </w:r>
          </w:p>
        </w:tc>
        <w:tc>
          <w:tcPr>
            <w:tcW w:w="5670" w:type="dxa"/>
          </w:tcPr>
          <w:p w:rsidR="0019180C" w:rsidRDefault="0019180C">
            <w:pPr>
              <w:keepNext/>
              <w:suppressAutoHyphens/>
              <w:rPr>
                <w:color w:val="0000FF"/>
                <w:spacing w:val="-3"/>
              </w:rPr>
            </w:pPr>
            <w:r>
              <w:rPr>
                <w:spacing w:val="-3"/>
              </w:rPr>
              <w:t xml:space="preserve">Max Influent Conc. </w:t>
            </w:r>
            <w:r>
              <w:rPr>
                <w:spacing w:val="-3"/>
              </w:rPr>
              <w:sym w:font="Symbol" w:char="F0B4"/>
            </w:r>
            <w:r>
              <w:rPr>
                <w:spacing w:val="-3"/>
              </w:rPr>
              <w:t xml:space="preserve"> (1 - Control Efficiency)</w:t>
            </w:r>
            <w:r>
              <w:rPr>
                <w:color w:val="0000FF"/>
                <w:spacing w:val="-3"/>
              </w:rPr>
              <w:t xml:space="preserve"> </w:t>
            </w:r>
          </w:p>
        </w:tc>
      </w:tr>
      <w:tr w:rsidR="0019180C">
        <w:tc>
          <w:tcPr>
            <w:tcW w:w="2970" w:type="dxa"/>
            <w:gridSpan w:val="2"/>
          </w:tcPr>
          <w:p w:rsidR="0019180C" w:rsidRDefault="0019180C">
            <w:pPr>
              <w:keepNext/>
              <w:suppressAutoHyphens/>
              <w:jc w:val="right"/>
              <w:rPr>
                <w:spacing w:val="-3"/>
              </w:rPr>
            </w:pPr>
            <w:r>
              <w:rPr>
                <w:spacing w:val="-3"/>
              </w:rPr>
              <w:t>=</w:t>
            </w:r>
          </w:p>
        </w:tc>
        <w:tc>
          <w:tcPr>
            <w:tcW w:w="5670" w:type="dxa"/>
          </w:tcPr>
          <w:p w:rsidR="0019180C" w:rsidRDefault="0019180C">
            <w:pPr>
              <w:keepNext/>
              <w:suppressAutoHyphens/>
              <w:rPr>
                <w:spacing w:val="-3"/>
              </w:rPr>
            </w:pPr>
            <w:r>
              <w:rPr>
                <w:color w:val="0000FF"/>
                <w:spacing w:val="-3"/>
              </w:rPr>
              <w:t>[  ]</w:t>
            </w:r>
            <w:r>
              <w:rPr>
                <w:spacing w:val="-3"/>
              </w:rPr>
              <w:t xml:space="preserve"> ppmv x (1 – </w:t>
            </w:r>
            <w:r>
              <w:rPr>
                <w:color w:val="0000FF"/>
                <w:spacing w:val="-3"/>
              </w:rPr>
              <w:t>0.95</w:t>
            </w:r>
            <w:r>
              <w:rPr>
                <w:spacing w:val="-3"/>
              </w:rPr>
              <w:t xml:space="preserve">) = </w:t>
            </w:r>
            <w:r>
              <w:rPr>
                <w:color w:val="0000FF"/>
                <w:spacing w:val="-3"/>
              </w:rPr>
              <w:t xml:space="preserve">[  ] </w:t>
            </w:r>
            <w:r>
              <w:rPr>
                <w:spacing w:val="-3"/>
              </w:rPr>
              <w:t>ppmv as methane</w:t>
            </w:r>
          </w:p>
        </w:tc>
      </w:tr>
      <w:tr w:rsidR="0019180C">
        <w:tc>
          <w:tcPr>
            <w:tcW w:w="2970" w:type="dxa"/>
            <w:gridSpan w:val="2"/>
          </w:tcPr>
          <w:p w:rsidR="0019180C" w:rsidRDefault="0019180C">
            <w:pPr>
              <w:keepNext/>
              <w:suppressAutoHyphens/>
              <w:jc w:val="right"/>
              <w:rPr>
                <w:spacing w:val="-3"/>
              </w:rPr>
            </w:pPr>
            <w:r>
              <w:rPr>
                <w:spacing w:val="-3"/>
              </w:rPr>
              <w:t xml:space="preserve">Influent Flow Rate: </w:t>
            </w:r>
          </w:p>
        </w:tc>
        <w:tc>
          <w:tcPr>
            <w:tcW w:w="5670" w:type="dxa"/>
          </w:tcPr>
          <w:p w:rsidR="0019180C" w:rsidRDefault="0019180C">
            <w:pPr>
              <w:keepNext/>
              <w:suppressAutoHyphens/>
              <w:rPr>
                <w:spacing w:val="-3"/>
              </w:rPr>
            </w:pPr>
            <w:r>
              <w:rPr>
                <w:color w:val="0000FF"/>
                <w:spacing w:val="-3"/>
              </w:rPr>
              <w:t>[  ]</w:t>
            </w:r>
            <w:r>
              <w:rPr>
                <w:spacing w:val="-3"/>
              </w:rPr>
              <w:t xml:space="preserve"> ft</w:t>
            </w:r>
            <w:r>
              <w:rPr>
                <w:spacing w:val="-3"/>
                <w:vertAlign w:val="superscript"/>
              </w:rPr>
              <w:t>3</w:t>
            </w:r>
            <w:r>
              <w:rPr>
                <w:spacing w:val="-3"/>
              </w:rPr>
              <w:t xml:space="preserve">/min </w:t>
            </w:r>
            <w:r>
              <w:rPr>
                <w:spacing w:val="-2"/>
                <w:sz w:val="20"/>
              </w:rPr>
              <w:t>(as proposed by the applicant)</w:t>
            </w:r>
          </w:p>
        </w:tc>
      </w:tr>
      <w:tr w:rsidR="0019180C">
        <w:tc>
          <w:tcPr>
            <w:tcW w:w="2970" w:type="dxa"/>
            <w:gridSpan w:val="2"/>
            <w:tcBorders>
              <w:bottom w:val="nil"/>
            </w:tcBorders>
          </w:tcPr>
          <w:p w:rsidR="0019180C" w:rsidRDefault="0019180C">
            <w:pPr>
              <w:keepNext/>
              <w:suppressAutoHyphens/>
              <w:jc w:val="right"/>
              <w:rPr>
                <w:spacing w:val="-3"/>
              </w:rPr>
            </w:pPr>
            <w:r>
              <w:rPr>
                <w:spacing w:val="-3"/>
              </w:rPr>
              <w:t xml:space="preserve">Molecular Wt. of Contaminant: </w:t>
            </w:r>
          </w:p>
        </w:tc>
        <w:tc>
          <w:tcPr>
            <w:tcW w:w="5670" w:type="dxa"/>
            <w:tcBorders>
              <w:bottom w:val="nil"/>
            </w:tcBorders>
          </w:tcPr>
          <w:p w:rsidR="0019180C" w:rsidRDefault="0019180C">
            <w:pPr>
              <w:keepNext/>
              <w:suppressAutoHyphens/>
              <w:rPr>
                <w:spacing w:val="-2"/>
                <w:sz w:val="20"/>
              </w:rPr>
            </w:pPr>
            <w:r>
              <w:rPr>
                <w:spacing w:val="-3"/>
              </w:rPr>
              <w:t xml:space="preserve">16.043 lb/lb-mole </w:t>
            </w:r>
            <w:r>
              <w:rPr>
                <w:spacing w:val="-2"/>
                <w:sz w:val="20"/>
              </w:rPr>
              <w:t>(converted M</w:t>
            </w:r>
            <w:r>
              <w:rPr>
                <w:spacing w:val="-2"/>
                <w:sz w:val="20"/>
                <w:vertAlign w:val="subscript"/>
              </w:rPr>
              <w:t>w</w:t>
            </w:r>
            <w:r>
              <w:rPr>
                <w:spacing w:val="-2"/>
                <w:sz w:val="20"/>
              </w:rPr>
              <w:t xml:space="preserve"> obtained from the applicant to methane</w:t>
            </w:r>
            <w:r>
              <w:rPr>
                <w:spacing w:val="-3"/>
                <w:sz w:val="20"/>
              </w:rPr>
              <w:t>)</w:t>
            </w:r>
          </w:p>
        </w:tc>
      </w:tr>
      <w:tr w:rsidR="0019180C">
        <w:tc>
          <w:tcPr>
            <w:tcW w:w="2970" w:type="dxa"/>
            <w:gridSpan w:val="2"/>
            <w:tcBorders>
              <w:bottom w:val="nil"/>
            </w:tcBorders>
          </w:tcPr>
          <w:p w:rsidR="0019180C" w:rsidRDefault="0019180C">
            <w:pPr>
              <w:keepNext/>
              <w:suppressAutoHyphens/>
              <w:jc w:val="right"/>
              <w:rPr>
                <w:spacing w:val="-3"/>
              </w:rPr>
            </w:pPr>
            <w:r>
              <w:rPr>
                <w:spacing w:val="-3"/>
              </w:rPr>
              <w:t xml:space="preserve">Molar Volume of Gas: </w:t>
            </w:r>
          </w:p>
        </w:tc>
        <w:tc>
          <w:tcPr>
            <w:tcW w:w="5670" w:type="dxa"/>
            <w:tcBorders>
              <w:bottom w:val="nil"/>
            </w:tcBorders>
          </w:tcPr>
          <w:p w:rsidR="0019180C" w:rsidRDefault="0019180C">
            <w:pPr>
              <w:keepNext/>
              <w:suppressAutoHyphens/>
              <w:rPr>
                <w:spacing w:val="-2"/>
                <w:sz w:val="19"/>
              </w:rPr>
            </w:pPr>
            <w:r>
              <w:rPr>
                <w:spacing w:val="-3"/>
              </w:rPr>
              <w:t>379.5 ft</w:t>
            </w:r>
            <w:r>
              <w:rPr>
                <w:spacing w:val="-3"/>
                <w:vertAlign w:val="superscript"/>
              </w:rPr>
              <w:t>3</w:t>
            </w:r>
            <w:r>
              <w:rPr>
                <w:spacing w:val="-3"/>
              </w:rPr>
              <w:t>/lb-mole</w:t>
            </w:r>
          </w:p>
        </w:tc>
      </w:tr>
      <w:tr w:rsidR="0019180C">
        <w:tc>
          <w:tcPr>
            <w:tcW w:w="1890" w:type="dxa"/>
            <w:tcBorders>
              <w:top w:val="single" w:sz="4" w:space="0" w:color="auto"/>
              <w:bottom w:val="nil"/>
            </w:tcBorders>
          </w:tcPr>
          <w:p w:rsidR="0019180C" w:rsidRDefault="0019180C">
            <w:pPr>
              <w:keepNext/>
              <w:suppressAutoHyphens/>
              <w:jc w:val="right"/>
              <w:rPr>
                <w:spacing w:val="-3"/>
              </w:rPr>
            </w:pPr>
            <w:r>
              <w:rPr>
                <w:spacing w:val="-3"/>
              </w:rPr>
              <w:t>PE</w:t>
            </w:r>
            <w:r>
              <w:rPr>
                <w:spacing w:val="-3"/>
                <w:vertAlign w:val="subscript"/>
              </w:rPr>
              <w:t>Uncontrolled</w:t>
            </w:r>
            <w:r>
              <w:rPr>
                <w:spacing w:val="-3"/>
              </w:rPr>
              <w:t xml:space="preserve"> =</w:t>
            </w:r>
          </w:p>
        </w:tc>
        <w:tc>
          <w:tcPr>
            <w:tcW w:w="6750" w:type="dxa"/>
            <w:gridSpan w:val="2"/>
            <w:tcBorders>
              <w:top w:val="single" w:sz="4" w:space="0" w:color="auto"/>
              <w:bottom w:val="nil"/>
            </w:tcBorders>
          </w:tcPr>
          <w:p w:rsidR="0019180C" w:rsidRDefault="0019180C">
            <w:pPr>
              <w:keepNext/>
              <w:suppressAutoHyphens/>
              <w:rPr>
                <w:spacing w:val="-3"/>
              </w:rPr>
            </w:pPr>
            <w:r>
              <w:rPr>
                <w:color w:val="0000FF"/>
                <w:spacing w:val="-3"/>
              </w:rPr>
              <w:t>Concentration (ppmv)</w:t>
            </w:r>
            <w:r>
              <w:rPr>
                <w:spacing w:val="-3"/>
              </w:rPr>
              <w:t xml:space="preserve"> </w:t>
            </w:r>
            <w:r>
              <w:rPr>
                <w:spacing w:val="-3"/>
              </w:rPr>
              <w:sym w:font="Symbol" w:char="F0B4"/>
            </w:r>
            <w:r>
              <w:rPr>
                <w:spacing w:val="-3"/>
              </w:rPr>
              <w:t xml:space="preserve"> Influent Flow Rate (ft</w:t>
            </w:r>
            <w:r>
              <w:rPr>
                <w:spacing w:val="-3"/>
                <w:vertAlign w:val="superscript"/>
              </w:rPr>
              <w:t>3</w:t>
            </w:r>
            <w:r>
              <w:rPr>
                <w:spacing w:val="-3"/>
              </w:rPr>
              <w:t xml:space="preserve">/min) </w:t>
            </w:r>
            <w:r>
              <w:rPr>
                <w:spacing w:val="-3"/>
              </w:rPr>
              <w:sym w:font="Symbol" w:char="F0B4"/>
            </w:r>
            <w:r>
              <w:rPr>
                <w:spacing w:val="-3"/>
              </w:rPr>
              <w:t xml:space="preserve"> 1 lb-mole/379.5 ft</w:t>
            </w:r>
            <w:r>
              <w:rPr>
                <w:spacing w:val="-3"/>
                <w:vertAlign w:val="superscript"/>
              </w:rPr>
              <w:t>3</w:t>
            </w:r>
            <w:r>
              <w:rPr>
                <w:spacing w:val="-3"/>
              </w:rPr>
              <w:t xml:space="preserve"> </w:t>
            </w:r>
            <w:r>
              <w:rPr>
                <w:spacing w:val="-3"/>
              </w:rPr>
              <w:sym w:font="Symbol" w:char="F0B4"/>
            </w:r>
            <w:r>
              <w:rPr>
                <w:spacing w:val="-3"/>
              </w:rPr>
              <w:t xml:space="preserve"> Mol. Wt. (lb/lb-mole) </w:t>
            </w:r>
            <w:r>
              <w:rPr>
                <w:spacing w:val="-3"/>
              </w:rPr>
              <w:sym w:font="Symbol" w:char="F0B4"/>
            </w:r>
            <w:r>
              <w:rPr>
                <w:spacing w:val="-3"/>
              </w:rPr>
              <w:t xml:space="preserve"> 1440 min/day</w:t>
            </w:r>
          </w:p>
        </w:tc>
      </w:tr>
      <w:tr w:rsidR="0019180C">
        <w:tc>
          <w:tcPr>
            <w:tcW w:w="1890" w:type="dxa"/>
            <w:tcBorders>
              <w:top w:val="nil"/>
              <w:bottom w:val="nil"/>
            </w:tcBorders>
          </w:tcPr>
          <w:p w:rsidR="0019180C" w:rsidRDefault="0019180C">
            <w:pPr>
              <w:keepNext/>
              <w:suppressAutoHyphens/>
              <w:jc w:val="right"/>
              <w:rPr>
                <w:spacing w:val="-3"/>
              </w:rPr>
            </w:pPr>
          </w:p>
        </w:tc>
        <w:tc>
          <w:tcPr>
            <w:tcW w:w="6750" w:type="dxa"/>
            <w:gridSpan w:val="2"/>
            <w:tcBorders>
              <w:top w:val="nil"/>
              <w:bottom w:val="nil"/>
            </w:tcBorders>
          </w:tcPr>
          <w:p w:rsidR="0019180C" w:rsidRDefault="0019180C">
            <w:pPr>
              <w:pStyle w:val="FootnoteText"/>
              <w:keepNext/>
              <w:suppressAutoHyphens/>
              <w:rPr>
                <w:rFonts w:ascii="Arial" w:hAnsi="Arial"/>
                <w:spacing w:val="-3"/>
              </w:rPr>
            </w:pPr>
          </w:p>
        </w:tc>
      </w:tr>
      <w:tr w:rsidR="0019180C">
        <w:tc>
          <w:tcPr>
            <w:tcW w:w="1890" w:type="dxa"/>
            <w:tcBorders>
              <w:top w:val="nil"/>
              <w:bottom w:val="nil"/>
            </w:tcBorders>
          </w:tcPr>
          <w:p w:rsidR="0019180C" w:rsidRDefault="0019180C">
            <w:pPr>
              <w:keepNext/>
              <w:suppressAutoHyphens/>
              <w:jc w:val="right"/>
              <w:rPr>
                <w:spacing w:val="-3"/>
              </w:rPr>
            </w:pPr>
            <w:r>
              <w:rPr>
                <w:spacing w:val="-3"/>
              </w:rPr>
              <w:t>=</w:t>
            </w:r>
          </w:p>
        </w:tc>
        <w:tc>
          <w:tcPr>
            <w:tcW w:w="6750" w:type="dxa"/>
            <w:gridSpan w:val="2"/>
            <w:tcBorders>
              <w:top w:val="nil"/>
              <w:bottom w:val="nil"/>
            </w:tcBorders>
          </w:tcPr>
          <w:p w:rsidR="0019180C" w:rsidRDefault="0019180C">
            <w:pPr>
              <w:keepNext/>
              <w:suppressAutoHyphens/>
              <w:rPr>
                <w:spacing w:val="-3"/>
              </w:rPr>
            </w:pPr>
            <w:r>
              <w:rPr>
                <w:spacing w:val="-3"/>
              </w:rPr>
              <w:t>(</w:t>
            </w:r>
            <w:r>
              <w:rPr>
                <w:color w:val="0000FF"/>
                <w:spacing w:val="-3"/>
              </w:rPr>
              <w:t>[  ]</w:t>
            </w:r>
            <w:r>
              <w:rPr>
                <w:spacing w:val="-3"/>
              </w:rPr>
              <w:t xml:space="preserve"> </w:t>
            </w:r>
            <w:r>
              <w:rPr>
                <w:spacing w:val="-3"/>
              </w:rPr>
              <w:sym w:font="Symbol" w:char="F0B4"/>
            </w:r>
            <w:r>
              <w:rPr>
                <w:spacing w:val="-3"/>
              </w:rPr>
              <w:t xml:space="preserve"> 10</w:t>
            </w:r>
            <w:r>
              <w:rPr>
                <w:spacing w:val="-3"/>
                <w:vertAlign w:val="superscript"/>
              </w:rPr>
              <w:t>-6</w:t>
            </w:r>
            <w:r>
              <w:rPr>
                <w:spacing w:val="-3"/>
              </w:rPr>
              <w:t xml:space="preserve">) </w:t>
            </w:r>
            <w:r>
              <w:rPr>
                <w:spacing w:val="-3"/>
              </w:rPr>
              <w:sym w:font="Symbol" w:char="F0B4"/>
            </w:r>
            <w:r>
              <w:rPr>
                <w:spacing w:val="-3"/>
              </w:rPr>
              <w:t xml:space="preserve"> (</w:t>
            </w:r>
            <w:r>
              <w:rPr>
                <w:color w:val="0000FF"/>
                <w:spacing w:val="-3"/>
              </w:rPr>
              <w:t>[  ]</w:t>
            </w:r>
            <w:r>
              <w:rPr>
                <w:spacing w:val="-3"/>
              </w:rPr>
              <w:t xml:space="preserve"> ft</w:t>
            </w:r>
            <w:r>
              <w:rPr>
                <w:spacing w:val="-3"/>
                <w:vertAlign w:val="superscript"/>
              </w:rPr>
              <w:t>3</w:t>
            </w:r>
            <w:r>
              <w:rPr>
                <w:spacing w:val="-3"/>
              </w:rPr>
              <w:t xml:space="preserve">/min) </w:t>
            </w:r>
            <w:r>
              <w:rPr>
                <w:spacing w:val="-3"/>
              </w:rPr>
              <w:sym w:font="Symbol" w:char="F0B4"/>
            </w:r>
            <w:r>
              <w:rPr>
                <w:spacing w:val="-3"/>
              </w:rPr>
              <w:t xml:space="preserve"> (1 lb-mole/379.5 ft</w:t>
            </w:r>
            <w:r>
              <w:rPr>
                <w:spacing w:val="-3"/>
                <w:vertAlign w:val="superscript"/>
              </w:rPr>
              <w:t>3</w:t>
            </w:r>
            <w:r>
              <w:rPr>
                <w:spacing w:val="-3"/>
              </w:rPr>
              <w:t xml:space="preserve">) </w:t>
            </w:r>
            <w:r>
              <w:rPr>
                <w:spacing w:val="-3"/>
              </w:rPr>
              <w:sym w:font="Symbol" w:char="F0B4"/>
            </w:r>
            <w:r>
              <w:rPr>
                <w:spacing w:val="-3"/>
              </w:rPr>
              <w:t xml:space="preserve"> (16.043 lb/lb-mole) </w:t>
            </w:r>
            <w:r>
              <w:rPr>
                <w:spacing w:val="-3"/>
              </w:rPr>
              <w:sym w:font="Symbol" w:char="F0B4"/>
            </w:r>
            <w:r>
              <w:rPr>
                <w:spacing w:val="-3"/>
              </w:rPr>
              <w:t xml:space="preserve"> 1440 min/day</w:t>
            </w:r>
          </w:p>
        </w:tc>
      </w:tr>
      <w:tr w:rsidR="0019180C">
        <w:tc>
          <w:tcPr>
            <w:tcW w:w="1890" w:type="dxa"/>
            <w:tcBorders>
              <w:top w:val="nil"/>
              <w:bottom w:val="single" w:sz="4" w:space="0" w:color="auto"/>
            </w:tcBorders>
          </w:tcPr>
          <w:p w:rsidR="0019180C" w:rsidRDefault="0019180C">
            <w:pPr>
              <w:keepNext/>
              <w:suppressAutoHyphens/>
              <w:jc w:val="right"/>
              <w:rPr>
                <w:spacing w:val="-3"/>
              </w:rPr>
            </w:pPr>
            <w:r>
              <w:rPr>
                <w:spacing w:val="-3"/>
              </w:rPr>
              <w:t>=</w:t>
            </w:r>
          </w:p>
        </w:tc>
        <w:tc>
          <w:tcPr>
            <w:tcW w:w="6750" w:type="dxa"/>
            <w:gridSpan w:val="2"/>
            <w:tcBorders>
              <w:top w:val="nil"/>
              <w:bottom w:val="single" w:sz="4" w:space="0" w:color="auto"/>
            </w:tcBorders>
          </w:tcPr>
          <w:p w:rsidR="0019180C" w:rsidRDefault="0019180C">
            <w:pPr>
              <w:keepNext/>
              <w:suppressAutoHyphens/>
              <w:rPr>
                <w:spacing w:val="-3"/>
              </w:rPr>
            </w:pPr>
            <w:r>
              <w:rPr>
                <w:color w:val="0000FF"/>
                <w:spacing w:val="-3"/>
              </w:rPr>
              <w:t xml:space="preserve">[  ] </w:t>
            </w:r>
            <w:r>
              <w:rPr>
                <w:spacing w:val="-3"/>
              </w:rPr>
              <w:t>lb-VOC/day</w:t>
            </w:r>
          </w:p>
        </w:tc>
      </w:tr>
      <w:tr w:rsidR="0019180C">
        <w:tc>
          <w:tcPr>
            <w:tcW w:w="1890" w:type="dxa"/>
            <w:tcBorders>
              <w:top w:val="nil"/>
              <w:bottom w:val="single" w:sz="4" w:space="0" w:color="auto"/>
            </w:tcBorders>
          </w:tcPr>
          <w:p w:rsidR="0019180C" w:rsidRDefault="0019180C">
            <w:pPr>
              <w:keepNext/>
              <w:suppressAutoHyphens/>
              <w:jc w:val="right"/>
              <w:rPr>
                <w:spacing w:val="-3"/>
              </w:rPr>
            </w:pPr>
          </w:p>
        </w:tc>
        <w:tc>
          <w:tcPr>
            <w:tcW w:w="6750" w:type="dxa"/>
            <w:gridSpan w:val="2"/>
            <w:tcBorders>
              <w:top w:val="nil"/>
              <w:bottom w:val="single" w:sz="4" w:space="0" w:color="auto"/>
            </w:tcBorders>
          </w:tcPr>
          <w:p w:rsidR="0019180C" w:rsidRDefault="0019180C">
            <w:pPr>
              <w:keepNext/>
              <w:suppressAutoHyphens/>
              <w:rPr>
                <w:i/>
                <w:iCs/>
                <w:color w:val="FF0000"/>
                <w:spacing w:val="-3"/>
              </w:rPr>
            </w:pPr>
            <w:r>
              <w:rPr>
                <w:i/>
                <w:iCs/>
                <w:color w:val="FF0000"/>
                <w:spacing w:val="-3"/>
              </w:rPr>
              <w:t>If Concentration given in mg/m</w:t>
            </w:r>
            <w:r>
              <w:rPr>
                <w:i/>
                <w:iCs/>
                <w:color w:val="FF0000"/>
                <w:spacing w:val="-3"/>
                <w:vertAlign w:val="superscript"/>
              </w:rPr>
              <w:t>3</w:t>
            </w:r>
            <w:r>
              <w:rPr>
                <w:i/>
                <w:iCs/>
                <w:color w:val="FF0000"/>
                <w:spacing w:val="-3"/>
              </w:rPr>
              <w:t xml:space="preserve"> use the following equation, otherwise delete it</w:t>
            </w:r>
          </w:p>
        </w:tc>
      </w:tr>
      <w:tr w:rsidR="0019180C">
        <w:tc>
          <w:tcPr>
            <w:tcW w:w="1890" w:type="dxa"/>
            <w:tcBorders>
              <w:top w:val="single" w:sz="4" w:space="0" w:color="auto"/>
              <w:bottom w:val="nil"/>
            </w:tcBorders>
          </w:tcPr>
          <w:p w:rsidR="0019180C" w:rsidRDefault="0019180C">
            <w:pPr>
              <w:keepNext/>
              <w:suppressAutoHyphens/>
              <w:jc w:val="right"/>
              <w:rPr>
                <w:spacing w:val="-3"/>
              </w:rPr>
            </w:pPr>
            <w:r>
              <w:rPr>
                <w:spacing w:val="-3"/>
              </w:rPr>
              <w:t>PE</w:t>
            </w:r>
            <w:r>
              <w:rPr>
                <w:spacing w:val="-3"/>
                <w:vertAlign w:val="subscript"/>
              </w:rPr>
              <w:t>Uncontrolled</w:t>
            </w:r>
            <w:r>
              <w:rPr>
                <w:spacing w:val="-3"/>
              </w:rPr>
              <w:t xml:space="preserve"> =</w:t>
            </w:r>
          </w:p>
        </w:tc>
        <w:tc>
          <w:tcPr>
            <w:tcW w:w="6750" w:type="dxa"/>
            <w:gridSpan w:val="2"/>
            <w:tcBorders>
              <w:top w:val="single" w:sz="4" w:space="0" w:color="auto"/>
              <w:bottom w:val="nil"/>
            </w:tcBorders>
          </w:tcPr>
          <w:p w:rsidR="0019180C" w:rsidRDefault="0019180C">
            <w:pPr>
              <w:keepNext/>
              <w:suppressAutoHyphens/>
              <w:rPr>
                <w:spacing w:val="-3"/>
              </w:rPr>
            </w:pPr>
            <w:r>
              <w:rPr>
                <w:rFonts w:cs="Arial"/>
                <w:color w:val="0000FF"/>
                <w:spacing w:val="-3"/>
                <w:szCs w:val="24"/>
              </w:rPr>
              <w:t>Concentration (mg/m</w:t>
            </w:r>
            <w:r>
              <w:rPr>
                <w:rFonts w:cs="Arial"/>
                <w:color w:val="0000FF"/>
                <w:spacing w:val="-3"/>
                <w:szCs w:val="24"/>
                <w:vertAlign w:val="superscript"/>
              </w:rPr>
              <w:t>3</w:t>
            </w:r>
            <w:r>
              <w:rPr>
                <w:rFonts w:cs="Arial"/>
                <w:color w:val="0000FF"/>
                <w:spacing w:val="-3"/>
                <w:szCs w:val="24"/>
              </w:rPr>
              <w:t>)</w:t>
            </w:r>
            <w:r>
              <w:rPr>
                <w:rFonts w:cs="Arial"/>
                <w:spacing w:val="-3"/>
                <w:szCs w:val="24"/>
              </w:rPr>
              <w:t xml:space="preserve"> </w:t>
            </w:r>
            <w:r>
              <w:rPr>
                <w:rFonts w:ascii="Symbol" w:hAnsi="Symbol" w:cs="Arial"/>
                <w:spacing w:val="-3"/>
                <w:szCs w:val="24"/>
              </w:rPr>
              <w:t></w:t>
            </w:r>
            <w:r>
              <w:rPr>
                <w:rFonts w:cs="Arial"/>
                <w:spacing w:val="-3"/>
                <w:szCs w:val="24"/>
              </w:rPr>
              <w:t xml:space="preserve"> Influent Flow Rate (ft</w:t>
            </w:r>
            <w:r>
              <w:rPr>
                <w:rFonts w:cs="Arial"/>
                <w:spacing w:val="-3"/>
                <w:szCs w:val="24"/>
                <w:vertAlign w:val="superscript"/>
              </w:rPr>
              <w:t>3</w:t>
            </w:r>
            <w:r>
              <w:rPr>
                <w:rFonts w:cs="Arial"/>
                <w:spacing w:val="-3"/>
                <w:szCs w:val="24"/>
              </w:rPr>
              <w:t xml:space="preserve">/min) </w:t>
            </w:r>
            <w:r>
              <w:rPr>
                <w:rFonts w:ascii="Symbol" w:hAnsi="Symbol" w:cs="Arial"/>
                <w:spacing w:val="-3"/>
                <w:szCs w:val="24"/>
              </w:rPr>
              <w:t></w:t>
            </w:r>
            <w:r>
              <w:rPr>
                <w:rFonts w:cs="Arial"/>
                <w:spacing w:val="-3"/>
                <w:szCs w:val="24"/>
              </w:rPr>
              <w:t xml:space="preserve"> (m</w:t>
            </w:r>
            <w:r>
              <w:rPr>
                <w:rFonts w:cs="Arial"/>
                <w:spacing w:val="-3"/>
                <w:szCs w:val="24"/>
                <w:vertAlign w:val="superscript"/>
              </w:rPr>
              <w:t>3</w:t>
            </w:r>
            <w:r>
              <w:rPr>
                <w:rFonts w:cs="Arial"/>
                <w:spacing w:val="-3"/>
                <w:szCs w:val="24"/>
              </w:rPr>
              <w:t>/35.31 ft</w:t>
            </w:r>
            <w:r>
              <w:rPr>
                <w:rFonts w:cs="Arial"/>
                <w:spacing w:val="-3"/>
                <w:szCs w:val="24"/>
                <w:vertAlign w:val="superscript"/>
              </w:rPr>
              <w:t>3</w:t>
            </w:r>
            <w:r>
              <w:rPr>
                <w:rFonts w:cs="Arial"/>
                <w:spacing w:val="-3"/>
                <w:szCs w:val="24"/>
              </w:rPr>
              <w:t>) x (g/1000 mg) x (lb/453.6 g) x 1440 min/day</w:t>
            </w:r>
          </w:p>
        </w:tc>
      </w:tr>
      <w:tr w:rsidR="0019180C">
        <w:tc>
          <w:tcPr>
            <w:tcW w:w="1890" w:type="dxa"/>
            <w:tcBorders>
              <w:top w:val="nil"/>
              <w:bottom w:val="nil"/>
            </w:tcBorders>
          </w:tcPr>
          <w:p w:rsidR="0019180C" w:rsidRDefault="0019180C">
            <w:pPr>
              <w:keepNext/>
              <w:suppressAutoHyphens/>
              <w:jc w:val="right"/>
              <w:rPr>
                <w:spacing w:val="-3"/>
              </w:rPr>
            </w:pPr>
          </w:p>
        </w:tc>
        <w:tc>
          <w:tcPr>
            <w:tcW w:w="6750" w:type="dxa"/>
            <w:gridSpan w:val="2"/>
            <w:tcBorders>
              <w:top w:val="nil"/>
              <w:bottom w:val="nil"/>
            </w:tcBorders>
          </w:tcPr>
          <w:p w:rsidR="0019180C" w:rsidRDefault="0019180C">
            <w:pPr>
              <w:pStyle w:val="FootnoteText"/>
              <w:keepNext/>
              <w:suppressAutoHyphens/>
              <w:rPr>
                <w:rFonts w:ascii="Arial" w:hAnsi="Arial"/>
                <w:spacing w:val="-3"/>
              </w:rPr>
            </w:pPr>
          </w:p>
        </w:tc>
      </w:tr>
      <w:tr w:rsidR="0019180C">
        <w:tc>
          <w:tcPr>
            <w:tcW w:w="1890" w:type="dxa"/>
            <w:tcBorders>
              <w:top w:val="nil"/>
              <w:bottom w:val="nil"/>
            </w:tcBorders>
          </w:tcPr>
          <w:p w:rsidR="0019180C" w:rsidRDefault="0019180C">
            <w:pPr>
              <w:keepNext/>
              <w:suppressAutoHyphens/>
              <w:jc w:val="right"/>
              <w:rPr>
                <w:spacing w:val="-3"/>
              </w:rPr>
            </w:pPr>
            <w:r>
              <w:rPr>
                <w:spacing w:val="-3"/>
              </w:rPr>
              <w:t>=</w:t>
            </w:r>
          </w:p>
        </w:tc>
        <w:tc>
          <w:tcPr>
            <w:tcW w:w="6750" w:type="dxa"/>
            <w:gridSpan w:val="2"/>
            <w:tcBorders>
              <w:top w:val="nil"/>
              <w:bottom w:val="nil"/>
            </w:tcBorders>
          </w:tcPr>
          <w:p w:rsidR="0019180C" w:rsidRDefault="0019180C">
            <w:pPr>
              <w:keepNext/>
              <w:suppressAutoHyphens/>
              <w:rPr>
                <w:spacing w:val="-3"/>
              </w:rPr>
            </w:pPr>
            <w:r>
              <w:rPr>
                <w:spacing w:val="-3"/>
              </w:rPr>
              <w:t>(</w:t>
            </w:r>
            <w:r>
              <w:rPr>
                <w:color w:val="0000FF"/>
                <w:spacing w:val="-3"/>
              </w:rPr>
              <w:t>[  ]</w:t>
            </w:r>
            <w:r>
              <w:rPr>
                <w:spacing w:val="-3"/>
              </w:rPr>
              <w:t xml:space="preserve"> mg/m</w:t>
            </w:r>
            <w:r>
              <w:rPr>
                <w:spacing w:val="-3"/>
                <w:vertAlign w:val="superscript"/>
              </w:rPr>
              <w:t>3</w:t>
            </w:r>
            <w:r>
              <w:rPr>
                <w:spacing w:val="-3"/>
              </w:rPr>
              <w:t xml:space="preserve">) </w:t>
            </w:r>
            <w:r>
              <w:rPr>
                <w:spacing w:val="-3"/>
              </w:rPr>
              <w:sym w:font="Symbol" w:char="F0B4"/>
            </w:r>
            <w:r>
              <w:rPr>
                <w:spacing w:val="-3"/>
              </w:rPr>
              <w:t xml:space="preserve"> (</w:t>
            </w:r>
            <w:r>
              <w:rPr>
                <w:color w:val="0000FF"/>
                <w:spacing w:val="-3"/>
              </w:rPr>
              <w:t>[  ]</w:t>
            </w:r>
            <w:r>
              <w:rPr>
                <w:spacing w:val="-3"/>
              </w:rPr>
              <w:t xml:space="preserve"> ft</w:t>
            </w:r>
            <w:r>
              <w:rPr>
                <w:spacing w:val="-3"/>
                <w:vertAlign w:val="superscript"/>
              </w:rPr>
              <w:t>3</w:t>
            </w:r>
            <w:r>
              <w:rPr>
                <w:spacing w:val="-3"/>
              </w:rPr>
              <w:t xml:space="preserve">/min) </w:t>
            </w:r>
            <w:r>
              <w:rPr>
                <w:spacing w:val="-3"/>
              </w:rPr>
              <w:sym w:font="Symbol" w:char="F0B4"/>
            </w:r>
            <w:r>
              <w:rPr>
                <w:spacing w:val="-3"/>
              </w:rPr>
              <w:t xml:space="preserve"> </w:t>
            </w:r>
            <w:r>
              <w:rPr>
                <w:rFonts w:cs="Arial"/>
                <w:spacing w:val="-3"/>
                <w:szCs w:val="24"/>
              </w:rPr>
              <w:t>m</w:t>
            </w:r>
            <w:r>
              <w:rPr>
                <w:rFonts w:cs="Arial"/>
                <w:spacing w:val="-3"/>
                <w:szCs w:val="24"/>
                <w:vertAlign w:val="superscript"/>
              </w:rPr>
              <w:t>3</w:t>
            </w:r>
            <w:r>
              <w:rPr>
                <w:rFonts w:cs="Arial"/>
                <w:spacing w:val="-3"/>
                <w:szCs w:val="24"/>
              </w:rPr>
              <w:t>/35.31 ft</w:t>
            </w:r>
            <w:r>
              <w:rPr>
                <w:rFonts w:cs="Arial"/>
                <w:spacing w:val="-3"/>
                <w:szCs w:val="24"/>
                <w:vertAlign w:val="superscript"/>
              </w:rPr>
              <w:t>3</w:t>
            </w:r>
            <w:r>
              <w:rPr>
                <w:rFonts w:cs="Arial"/>
                <w:spacing w:val="-3"/>
                <w:szCs w:val="24"/>
              </w:rPr>
              <w:t>) x (g/1000 mg) x (lb/453.6 g) x 1440 min/day</w:t>
            </w:r>
          </w:p>
        </w:tc>
      </w:tr>
      <w:tr w:rsidR="0019180C">
        <w:tc>
          <w:tcPr>
            <w:tcW w:w="1890" w:type="dxa"/>
            <w:tcBorders>
              <w:top w:val="nil"/>
              <w:bottom w:val="single" w:sz="4" w:space="0" w:color="auto"/>
            </w:tcBorders>
          </w:tcPr>
          <w:p w:rsidR="0019180C" w:rsidRDefault="0019180C">
            <w:pPr>
              <w:keepNext/>
              <w:suppressAutoHyphens/>
              <w:jc w:val="right"/>
              <w:rPr>
                <w:spacing w:val="-3"/>
              </w:rPr>
            </w:pPr>
            <w:r>
              <w:rPr>
                <w:spacing w:val="-3"/>
              </w:rPr>
              <w:t>=</w:t>
            </w:r>
          </w:p>
        </w:tc>
        <w:tc>
          <w:tcPr>
            <w:tcW w:w="6750" w:type="dxa"/>
            <w:gridSpan w:val="2"/>
            <w:tcBorders>
              <w:top w:val="nil"/>
              <w:bottom w:val="single" w:sz="4" w:space="0" w:color="auto"/>
            </w:tcBorders>
          </w:tcPr>
          <w:p w:rsidR="0019180C" w:rsidRDefault="0019180C">
            <w:pPr>
              <w:keepNext/>
              <w:suppressAutoHyphens/>
              <w:rPr>
                <w:spacing w:val="-3"/>
              </w:rPr>
            </w:pPr>
            <w:r>
              <w:rPr>
                <w:color w:val="0000FF"/>
                <w:spacing w:val="-3"/>
              </w:rPr>
              <w:t xml:space="preserve">[ X ] </w:t>
            </w:r>
            <w:r>
              <w:rPr>
                <w:spacing w:val="-3"/>
              </w:rPr>
              <w:t>lb-VOC/day</w:t>
            </w:r>
          </w:p>
        </w:tc>
      </w:tr>
    </w:tbl>
    <w:p w:rsidR="0019180C" w:rsidRDefault="0019180C"/>
    <w:tbl>
      <w:tblPr>
        <w:tblW w:w="0" w:type="auto"/>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90"/>
        <w:gridCol w:w="6750"/>
      </w:tblGrid>
      <w:tr w:rsidR="0019180C">
        <w:tc>
          <w:tcPr>
            <w:tcW w:w="1890" w:type="dxa"/>
          </w:tcPr>
          <w:p w:rsidR="0019180C" w:rsidRDefault="0019180C">
            <w:pPr>
              <w:suppressAutoHyphens/>
              <w:jc w:val="right"/>
              <w:rPr>
                <w:spacing w:val="-3"/>
              </w:rPr>
            </w:pPr>
            <w:r>
              <w:rPr>
                <w:spacing w:val="-3"/>
              </w:rPr>
              <w:t>PE</w:t>
            </w:r>
            <w:r>
              <w:rPr>
                <w:spacing w:val="-3"/>
                <w:vertAlign w:val="subscript"/>
              </w:rPr>
              <w:t>Controlled</w:t>
            </w:r>
            <w:r>
              <w:rPr>
                <w:spacing w:val="-3"/>
              </w:rPr>
              <w:t xml:space="preserve"> =</w:t>
            </w:r>
          </w:p>
        </w:tc>
        <w:tc>
          <w:tcPr>
            <w:tcW w:w="6750" w:type="dxa"/>
          </w:tcPr>
          <w:p w:rsidR="0019180C" w:rsidRDefault="0019180C">
            <w:pPr>
              <w:suppressAutoHyphens/>
              <w:rPr>
                <w:spacing w:val="-3"/>
              </w:rPr>
            </w:pPr>
            <w:r>
              <w:rPr>
                <w:spacing w:val="-3"/>
              </w:rPr>
              <w:t>PE</w:t>
            </w:r>
            <w:r>
              <w:rPr>
                <w:spacing w:val="-3"/>
                <w:vertAlign w:val="subscript"/>
              </w:rPr>
              <w:t>Uncontrolled</w:t>
            </w:r>
            <w:r>
              <w:rPr>
                <w:spacing w:val="-3"/>
              </w:rPr>
              <w:t xml:space="preserve"> (lb/day) </w:t>
            </w:r>
            <w:r>
              <w:rPr>
                <w:spacing w:val="-3"/>
              </w:rPr>
              <w:sym w:font="Symbol" w:char="F0B4"/>
            </w:r>
            <w:r>
              <w:rPr>
                <w:spacing w:val="-3"/>
              </w:rPr>
              <w:t xml:space="preserve"> (1 - Control Efficiency)</w:t>
            </w:r>
          </w:p>
        </w:tc>
      </w:tr>
      <w:tr w:rsidR="0019180C">
        <w:tc>
          <w:tcPr>
            <w:tcW w:w="1890" w:type="dxa"/>
          </w:tcPr>
          <w:p w:rsidR="0019180C" w:rsidRDefault="0019180C">
            <w:pPr>
              <w:suppressAutoHyphens/>
              <w:jc w:val="right"/>
              <w:rPr>
                <w:spacing w:val="-3"/>
              </w:rPr>
            </w:pPr>
            <w:r>
              <w:rPr>
                <w:spacing w:val="-3"/>
              </w:rPr>
              <w:t>=</w:t>
            </w:r>
          </w:p>
        </w:tc>
        <w:tc>
          <w:tcPr>
            <w:tcW w:w="6750" w:type="dxa"/>
          </w:tcPr>
          <w:p w:rsidR="0019180C" w:rsidRDefault="0019180C">
            <w:pPr>
              <w:suppressAutoHyphens/>
              <w:rPr>
                <w:spacing w:val="-3"/>
              </w:rPr>
            </w:pPr>
            <w:r>
              <w:rPr>
                <w:spacing w:val="-3"/>
              </w:rPr>
              <w:t>(</w:t>
            </w:r>
            <w:r>
              <w:rPr>
                <w:color w:val="0000FF"/>
                <w:spacing w:val="-3"/>
              </w:rPr>
              <w:t>[ X ]</w:t>
            </w:r>
            <w:r>
              <w:rPr>
                <w:spacing w:val="-3"/>
              </w:rPr>
              <w:t xml:space="preserve"> lb/day) </w:t>
            </w:r>
            <w:r>
              <w:rPr>
                <w:spacing w:val="-3"/>
              </w:rPr>
              <w:sym w:font="Symbol" w:char="F0B4"/>
            </w:r>
            <w:r>
              <w:rPr>
                <w:spacing w:val="-3"/>
              </w:rPr>
              <w:t xml:space="preserve"> (1 - 0.</w:t>
            </w:r>
            <w:r>
              <w:rPr>
                <w:color w:val="0000FF"/>
                <w:spacing w:val="-3"/>
              </w:rPr>
              <w:t>95</w:t>
            </w:r>
            <w:r>
              <w:rPr>
                <w:spacing w:val="-3"/>
              </w:rPr>
              <w:t>)</w:t>
            </w:r>
          </w:p>
        </w:tc>
      </w:tr>
      <w:tr w:rsidR="0019180C">
        <w:tc>
          <w:tcPr>
            <w:tcW w:w="1890" w:type="dxa"/>
          </w:tcPr>
          <w:p w:rsidR="0019180C" w:rsidRDefault="0019180C">
            <w:pPr>
              <w:suppressAutoHyphens/>
              <w:jc w:val="right"/>
              <w:rPr>
                <w:spacing w:val="-3"/>
              </w:rPr>
            </w:pPr>
            <w:r>
              <w:rPr>
                <w:spacing w:val="-3"/>
              </w:rPr>
              <w:t>=</w:t>
            </w:r>
          </w:p>
        </w:tc>
        <w:tc>
          <w:tcPr>
            <w:tcW w:w="6750" w:type="dxa"/>
          </w:tcPr>
          <w:p w:rsidR="0019180C" w:rsidRDefault="0019180C">
            <w:pPr>
              <w:suppressAutoHyphens/>
              <w:rPr>
                <w:spacing w:val="-3"/>
              </w:rPr>
            </w:pPr>
            <w:r>
              <w:rPr>
                <w:color w:val="0000FF"/>
                <w:spacing w:val="-3"/>
              </w:rPr>
              <w:t>[ Y ]</w:t>
            </w:r>
            <w:r>
              <w:rPr>
                <w:spacing w:val="-3"/>
              </w:rPr>
              <w:t xml:space="preserve"> lb-VOC/day</w:t>
            </w:r>
          </w:p>
        </w:tc>
      </w:tr>
    </w:tbl>
    <w:p w:rsidR="0019180C" w:rsidRDefault="0019180C">
      <w:pPr>
        <w:suppressAutoHyphens/>
        <w:ind w:left="1440"/>
        <w:jc w:val="both"/>
        <w:rPr>
          <w:b/>
          <w:color w:val="FF0000"/>
          <w:spacing w:val="-3"/>
        </w:rPr>
      </w:pPr>
    </w:p>
    <w:p w:rsidR="0019180C" w:rsidRDefault="0019180C">
      <w:pPr>
        <w:suppressAutoHyphens/>
        <w:ind w:left="720"/>
        <w:jc w:val="both"/>
        <w:rPr>
          <w:b/>
          <w:color w:val="FF0000"/>
          <w:spacing w:val="-3"/>
        </w:rPr>
      </w:pPr>
      <w:r>
        <w:rPr>
          <w:b/>
          <w:color w:val="FF0000"/>
          <w:spacing w:val="-3"/>
        </w:rPr>
        <w:t>If the daily PE (</w:t>
      </w:r>
      <w:r w:rsidR="00D067B7">
        <w:rPr>
          <w:b/>
          <w:color w:val="FF0000"/>
          <w:spacing w:val="-3"/>
        </w:rPr>
        <w:t>[</w:t>
      </w:r>
      <w:r>
        <w:rPr>
          <w:b/>
          <w:color w:val="FF0000"/>
          <w:spacing w:val="-3"/>
        </w:rPr>
        <w:t>Y</w:t>
      </w:r>
      <w:r w:rsidR="00D067B7">
        <w:rPr>
          <w:b/>
          <w:color w:val="FF0000"/>
          <w:spacing w:val="-3"/>
        </w:rPr>
        <w:t>]</w:t>
      </w:r>
      <w:r>
        <w:rPr>
          <w:b/>
          <w:color w:val="FF0000"/>
          <w:spacing w:val="-3"/>
        </w:rPr>
        <w:t xml:space="preserve"> above</w:t>
      </w:r>
      <w:r w:rsidR="00D067B7">
        <w:rPr>
          <w:b/>
          <w:color w:val="FF0000"/>
          <w:spacing w:val="-3"/>
        </w:rPr>
        <w:t>)</w:t>
      </w:r>
      <w:r>
        <w:rPr>
          <w:b/>
          <w:color w:val="FF0000"/>
          <w:spacing w:val="-3"/>
        </w:rPr>
        <w:t xml:space="preserve"> is below 2 pounds per day, add the following section; otherwise delete it.</w:t>
      </w:r>
    </w:p>
    <w:p w:rsidR="0019180C" w:rsidRDefault="0019180C">
      <w:pPr>
        <w:suppressAutoHyphens/>
        <w:ind w:left="1440"/>
        <w:jc w:val="both"/>
        <w:rPr>
          <w:b/>
          <w:spacing w:val="-3"/>
        </w:rPr>
      </w:pPr>
    </w:p>
    <w:p w:rsidR="0019180C" w:rsidRDefault="0019180C">
      <w:pPr>
        <w:suppressAutoHyphens/>
        <w:ind w:left="720"/>
        <w:jc w:val="both"/>
        <w:rPr>
          <w:bCs/>
          <w:spacing w:val="-3"/>
        </w:rPr>
      </w:pPr>
      <w:r>
        <w:rPr>
          <w:rFonts w:cs="Arial"/>
          <w:color w:val="000000"/>
        </w:rPr>
        <w:t>Once effluent VOC emissions drop below 2 pounds per day, the emissions unit is no longer subject to BACT and may operate at a lower control efficiency or without any controls at all.  However, since the VOC emissions calculated above are below 2.0 lb-VOC/day, the calculated VOC emission will be adjusted to 2.0 lb-VOC/day in order to show no increase in emissions from this operation once the control device is reduced or taken off-line.  The effluent concentration will be recalculated as follows:</w:t>
      </w:r>
    </w:p>
    <w:p w:rsidR="0019180C" w:rsidRDefault="0019180C">
      <w:pPr>
        <w:suppressAutoHyphens/>
        <w:ind w:left="1440"/>
        <w:jc w:val="both"/>
        <w:rPr>
          <w:bCs/>
          <w:spacing w:val="-3"/>
        </w:rPr>
      </w:pPr>
    </w:p>
    <w:p w:rsidR="0019180C" w:rsidRDefault="0019180C">
      <w:pPr>
        <w:suppressAutoHyphens/>
        <w:ind w:left="3330" w:hanging="2610"/>
        <w:jc w:val="both"/>
        <w:rPr>
          <w:spacing w:val="-3"/>
        </w:rPr>
      </w:pPr>
      <w:r>
        <w:rPr>
          <w:bCs/>
          <w:spacing w:val="-3"/>
        </w:rPr>
        <w:t xml:space="preserve">Concentration (ppmv) = (2.0 lbs/day) </w:t>
      </w:r>
      <w:r>
        <w:rPr>
          <w:bCs/>
          <w:spacing w:val="-3"/>
        </w:rPr>
        <w:sym w:font="Symbol" w:char="F0B8"/>
      </w:r>
      <w:r>
        <w:rPr>
          <w:bCs/>
          <w:spacing w:val="-3"/>
        </w:rPr>
        <w:t xml:space="preserve"> [</w:t>
      </w:r>
      <w:r>
        <w:rPr>
          <w:spacing w:val="-3"/>
        </w:rPr>
        <w:t>Influent Flow Rate (ft</w:t>
      </w:r>
      <w:r>
        <w:rPr>
          <w:spacing w:val="-3"/>
          <w:vertAlign w:val="superscript"/>
        </w:rPr>
        <w:t>3</w:t>
      </w:r>
      <w:r>
        <w:rPr>
          <w:spacing w:val="-3"/>
        </w:rPr>
        <w:t xml:space="preserve">/min) </w:t>
      </w:r>
      <w:r>
        <w:rPr>
          <w:spacing w:val="-3"/>
        </w:rPr>
        <w:sym w:font="Symbol" w:char="F0B4"/>
      </w:r>
      <w:r>
        <w:rPr>
          <w:spacing w:val="-3"/>
        </w:rPr>
        <w:t xml:space="preserve"> 1 lb-mole/379.5 ft</w:t>
      </w:r>
      <w:r>
        <w:rPr>
          <w:spacing w:val="-3"/>
          <w:vertAlign w:val="superscript"/>
        </w:rPr>
        <w:t>3</w:t>
      </w:r>
      <w:r>
        <w:rPr>
          <w:spacing w:val="-3"/>
        </w:rPr>
        <w:t xml:space="preserve"> </w:t>
      </w:r>
      <w:r>
        <w:rPr>
          <w:spacing w:val="-3"/>
        </w:rPr>
        <w:sym w:font="Symbol" w:char="F0B4"/>
      </w:r>
      <w:r>
        <w:rPr>
          <w:spacing w:val="-3"/>
        </w:rPr>
        <w:t xml:space="preserve"> Mol. Wt. (lb/lb-mole) </w:t>
      </w:r>
      <w:r>
        <w:rPr>
          <w:spacing w:val="-3"/>
        </w:rPr>
        <w:sym w:font="Symbol" w:char="F0B4"/>
      </w:r>
      <w:r>
        <w:rPr>
          <w:spacing w:val="-3"/>
        </w:rPr>
        <w:t xml:space="preserve"> 1440 min/day]</w:t>
      </w:r>
    </w:p>
    <w:p w:rsidR="0019180C" w:rsidRDefault="0019180C">
      <w:pPr>
        <w:suppressAutoHyphens/>
        <w:ind w:left="720"/>
        <w:jc w:val="both"/>
        <w:rPr>
          <w:spacing w:val="-3"/>
        </w:rPr>
      </w:pPr>
    </w:p>
    <w:p w:rsidR="0019180C" w:rsidRDefault="0019180C">
      <w:pPr>
        <w:suppressAutoHyphens/>
        <w:ind w:left="3330" w:hanging="2610"/>
        <w:jc w:val="both"/>
        <w:rPr>
          <w:spacing w:val="-3"/>
        </w:rPr>
      </w:pPr>
      <w:r>
        <w:rPr>
          <w:bCs/>
          <w:spacing w:val="-3"/>
        </w:rPr>
        <w:t xml:space="preserve">Concentration (ppmv) = (2.0 lbs/day) </w:t>
      </w:r>
      <w:r>
        <w:rPr>
          <w:bCs/>
          <w:spacing w:val="-3"/>
        </w:rPr>
        <w:sym w:font="Symbol" w:char="F0B8"/>
      </w:r>
      <w:r>
        <w:rPr>
          <w:bCs/>
          <w:spacing w:val="-3"/>
        </w:rPr>
        <w:t xml:space="preserve"> [</w:t>
      </w:r>
      <w:r>
        <w:rPr>
          <w:spacing w:val="-3"/>
        </w:rPr>
        <w:t>(</w:t>
      </w:r>
      <w:r>
        <w:rPr>
          <w:color w:val="0000FF"/>
          <w:spacing w:val="-3"/>
        </w:rPr>
        <w:t>[  ]</w:t>
      </w:r>
      <w:r>
        <w:rPr>
          <w:spacing w:val="-3"/>
        </w:rPr>
        <w:t xml:space="preserve"> ft</w:t>
      </w:r>
      <w:r>
        <w:rPr>
          <w:spacing w:val="-3"/>
          <w:vertAlign w:val="superscript"/>
        </w:rPr>
        <w:t>3</w:t>
      </w:r>
      <w:r>
        <w:rPr>
          <w:spacing w:val="-3"/>
        </w:rPr>
        <w:t xml:space="preserve">/min) </w:t>
      </w:r>
      <w:r>
        <w:rPr>
          <w:spacing w:val="-3"/>
        </w:rPr>
        <w:sym w:font="Symbol" w:char="F0B4"/>
      </w:r>
      <w:r>
        <w:rPr>
          <w:spacing w:val="-3"/>
        </w:rPr>
        <w:t xml:space="preserve"> (1 lb-mole/379.5 ft</w:t>
      </w:r>
      <w:r>
        <w:rPr>
          <w:spacing w:val="-3"/>
          <w:vertAlign w:val="superscript"/>
        </w:rPr>
        <w:t>3</w:t>
      </w:r>
      <w:r>
        <w:rPr>
          <w:spacing w:val="-3"/>
        </w:rPr>
        <w:t xml:space="preserve">) </w:t>
      </w:r>
      <w:r>
        <w:rPr>
          <w:spacing w:val="-3"/>
        </w:rPr>
        <w:sym w:font="Symbol" w:char="F0B4"/>
      </w:r>
      <w:r>
        <w:rPr>
          <w:spacing w:val="-3"/>
        </w:rPr>
        <w:t xml:space="preserve"> (</w:t>
      </w:r>
      <w:r>
        <w:rPr>
          <w:color w:val="0000FF"/>
          <w:spacing w:val="-3"/>
        </w:rPr>
        <w:t>[  ]</w:t>
      </w:r>
      <w:r>
        <w:rPr>
          <w:spacing w:val="-3"/>
        </w:rPr>
        <w:t xml:space="preserve"> lb/lb-mole) </w:t>
      </w:r>
      <w:r>
        <w:rPr>
          <w:spacing w:val="-3"/>
        </w:rPr>
        <w:sym w:font="Symbol" w:char="F0B4"/>
      </w:r>
      <w:r>
        <w:rPr>
          <w:spacing w:val="-3"/>
        </w:rPr>
        <w:t xml:space="preserve"> 1440 min/day </w:t>
      </w:r>
      <w:r>
        <w:rPr>
          <w:spacing w:val="-3"/>
        </w:rPr>
        <w:sym w:font="Symbol" w:char="F0B4"/>
      </w:r>
      <w:r>
        <w:rPr>
          <w:spacing w:val="-3"/>
        </w:rPr>
        <w:t xml:space="preserve"> 10</w:t>
      </w:r>
      <w:r>
        <w:rPr>
          <w:spacing w:val="-3"/>
          <w:vertAlign w:val="superscript"/>
        </w:rPr>
        <w:t>-6</w:t>
      </w:r>
      <w:r>
        <w:rPr>
          <w:spacing w:val="-3"/>
        </w:rPr>
        <w:t>]</w:t>
      </w:r>
    </w:p>
    <w:p w:rsidR="0019180C" w:rsidRDefault="0019180C">
      <w:pPr>
        <w:suppressAutoHyphens/>
        <w:ind w:left="2610" w:firstLine="270"/>
        <w:jc w:val="both"/>
        <w:rPr>
          <w:spacing w:val="-3"/>
        </w:rPr>
      </w:pPr>
      <w:r>
        <w:rPr>
          <w:spacing w:val="-3"/>
        </w:rPr>
        <w:t xml:space="preserve">    = </w:t>
      </w:r>
      <w:r>
        <w:rPr>
          <w:color w:val="0000FF"/>
          <w:spacing w:val="-3"/>
        </w:rPr>
        <w:t>[  ]</w:t>
      </w:r>
      <w:r>
        <w:rPr>
          <w:spacing w:val="-3"/>
        </w:rPr>
        <w:t xml:space="preserve"> ppmv</w:t>
      </w:r>
    </w:p>
    <w:p w:rsidR="0019180C" w:rsidRDefault="0019180C">
      <w:pPr>
        <w:suppressAutoHyphens/>
        <w:ind w:left="3870" w:hanging="2430"/>
        <w:jc w:val="both"/>
        <w:rPr>
          <w:spacing w:val="-3"/>
        </w:rPr>
      </w:pPr>
    </w:p>
    <w:tbl>
      <w:tblPr>
        <w:tblW w:w="0" w:type="auto"/>
        <w:tblInd w:w="1562" w:type="dxa"/>
        <w:tblCellMar>
          <w:left w:w="122" w:type="dxa"/>
          <w:right w:w="122" w:type="dxa"/>
        </w:tblCellMar>
        <w:tblLook w:val="0000" w:firstRow="0" w:lastRow="0" w:firstColumn="0" w:lastColumn="0" w:noHBand="0" w:noVBand="0"/>
      </w:tblPr>
      <w:tblGrid>
        <w:gridCol w:w="1350"/>
        <w:gridCol w:w="2054"/>
        <w:gridCol w:w="2250"/>
        <w:gridCol w:w="2323"/>
      </w:tblGrid>
      <w:tr w:rsidR="0019180C" w:rsidTr="00B031E6">
        <w:trPr>
          <w:cantSplit/>
        </w:trPr>
        <w:tc>
          <w:tcPr>
            <w:tcW w:w="7977" w:type="dxa"/>
            <w:gridSpan w:val="4"/>
            <w:tcBorders>
              <w:top w:val="double" w:sz="6" w:space="0" w:color="auto"/>
              <w:left w:val="double" w:sz="6" w:space="0" w:color="auto"/>
              <w:right w:val="double" w:sz="6" w:space="0" w:color="auto"/>
            </w:tcBorders>
            <w:shd w:val="clear" w:color="auto" w:fill="auto"/>
          </w:tcPr>
          <w:p w:rsidR="0019180C" w:rsidRDefault="0019180C">
            <w:pPr>
              <w:suppressAutoHyphens/>
              <w:spacing w:before="40" w:after="40"/>
              <w:jc w:val="center"/>
              <w:rPr>
                <w:b/>
                <w:bCs/>
                <w:spacing w:val="-3"/>
              </w:rPr>
            </w:pPr>
            <w:r>
              <w:rPr>
                <w:b/>
                <w:bCs/>
                <w:spacing w:val="-3"/>
              </w:rPr>
              <w:t xml:space="preserve">Post-Project Potential to Emit (PE2) </w:t>
            </w:r>
          </w:p>
        </w:tc>
      </w:tr>
      <w:tr w:rsidR="0019180C" w:rsidTr="00B031E6">
        <w:trPr>
          <w:trHeight w:val="275"/>
        </w:trPr>
        <w:tc>
          <w:tcPr>
            <w:tcW w:w="1350" w:type="dxa"/>
            <w:tcBorders>
              <w:top w:val="double" w:sz="6" w:space="0" w:color="auto"/>
              <w:left w:val="double" w:sz="6" w:space="0" w:color="auto"/>
            </w:tcBorders>
            <w:shd w:val="clear" w:color="auto" w:fill="auto"/>
            <w:vAlign w:val="center"/>
          </w:tcPr>
          <w:p w:rsidR="0019180C" w:rsidRDefault="0019180C">
            <w:pPr>
              <w:suppressAutoHyphens/>
              <w:jc w:val="center"/>
              <w:rPr>
                <w:b/>
                <w:bCs/>
                <w:spacing w:val="-3"/>
              </w:rPr>
            </w:pPr>
            <w:r>
              <w:rPr>
                <w:b/>
                <w:bCs/>
                <w:spacing w:val="-3"/>
              </w:rPr>
              <w:lastRenderedPageBreak/>
              <w:t>Pollutant</w:t>
            </w:r>
          </w:p>
        </w:tc>
        <w:tc>
          <w:tcPr>
            <w:tcW w:w="2054" w:type="dxa"/>
            <w:tcBorders>
              <w:top w:val="double" w:sz="6" w:space="0" w:color="auto"/>
              <w:left w:val="single" w:sz="6" w:space="0" w:color="auto"/>
              <w:right w:val="single" w:sz="6" w:space="0" w:color="auto"/>
            </w:tcBorders>
            <w:shd w:val="clear" w:color="auto" w:fill="auto"/>
            <w:vAlign w:val="center"/>
          </w:tcPr>
          <w:p w:rsidR="0019180C" w:rsidRDefault="0019180C">
            <w:pPr>
              <w:suppressAutoHyphens/>
              <w:jc w:val="center"/>
              <w:rPr>
                <w:b/>
                <w:bCs/>
                <w:spacing w:val="-3"/>
              </w:rPr>
            </w:pPr>
            <w:r>
              <w:rPr>
                <w:b/>
                <w:bCs/>
                <w:spacing w:val="-3"/>
              </w:rPr>
              <w:t>PE</w:t>
            </w:r>
            <w:r>
              <w:rPr>
                <w:b/>
                <w:bCs/>
                <w:spacing w:val="-3"/>
                <w:vertAlign w:val="subscript"/>
              </w:rPr>
              <w:t>Controlled</w:t>
            </w:r>
          </w:p>
          <w:p w:rsidR="0019180C" w:rsidRDefault="0019180C">
            <w:pPr>
              <w:suppressAutoHyphens/>
              <w:jc w:val="center"/>
              <w:rPr>
                <w:b/>
                <w:bCs/>
                <w:spacing w:val="-3"/>
              </w:rPr>
            </w:pPr>
            <w:r>
              <w:rPr>
                <w:b/>
                <w:bCs/>
                <w:spacing w:val="-3"/>
              </w:rPr>
              <w:t>(lb/day)</w:t>
            </w:r>
          </w:p>
        </w:tc>
        <w:tc>
          <w:tcPr>
            <w:tcW w:w="2250" w:type="dxa"/>
            <w:tcBorders>
              <w:top w:val="double" w:sz="6" w:space="0" w:color="auto"/>
              <w:left w:val="single" w:sz="6" w:space="0" w:color="auto"/>
            </w:tcBorders>
            <w:shd w:val="clear" w:color="auto" w:fill="auto"/>
            <w:vAlign w:val="center"/>
          </w:tcPr>
          <w:p w:rsidR="0019180C" w:rsidRDefault="0019180C">
            <w:pPr>
              <w:suppressAutoHyphens/>
              <w:jc w:val="center"/>
              <w:rPr>
                <w:b/>
                <w:bCs/>
                <w:spacing w:val="-3"/>
              </w:rPr>
            </w:pPr>
            <w:r>
              <w:rPr>
                <w:b/>
                <w:bCs/>
                <w:spacing w:val="-3"/>
              </w:rPr>
              <w:t>PE</w:t>
            </w:r>
            <w:r>
              <w:rPr>
                <w:b/>
                <w:bCs/>
                <w:spacing w:val="-3"/>
                <w:vertAlign w:val="subscript"/>
              </w:rPr>
              <w:t>annual</w:t>
            </w:r>
          </w:p>
          <w:p w:rsidR="0019180C" w:rsidRDefault="0019180C">
            <w:pPr>
              <w:suppressAutoHyphens/>
              <w:jc w:val="center"/>
              <w:rPr>
                <w:b/>
                <w:bCs/>
                <w:spacing w:val="-3"/>
              </w:rPr>
            </w:pPr>
            <w:r>
              <w:rPr>
                <w:b/>
                <w:bCs/>
                <w:spacing w:val="-3"/>
              </w:rPr>
              <w:t>(lb/yr)</w:t>
            </w:r>
          </w:p>
        </w:tc>
        <w:tc>
          <w:tcPr>
            <w:tcW w:w="2323" w:type="dxa"/>
            <w:tcBorders>
              <w:top w:val="double" w:sz="6" w:space="0" w:color="auto"/>
              <w:left w:val="single" w:sz="6" w:space="0" w:color="auto"/>
              <w:right w:val="double" w:sz="6" w:space="0" w:color="auto"/>
            </w:tcBorders>
            <w:shd w:val="clear" w:color="auto" w:fill="auto"/>
            <w:vAlign w:val="center"/>
          </w:tcPr>
          <w:p w:rsidR="0019180C" w:rsidRDefault="0019180C">
            <w:pPr>
              <w:suppressAutoHyphens/>
              <w:jc w:val="center"/>
              <w:rPr>
                <w:b/>
                <w:bCs/>
                <w:spacing w:val="-3"/>
              </w:rPr>
            </w:pPr>
            <w:r>
              <w:rPr>
                <w:b/>
                <w:bCs/>
                <w:spacing w:val="-3"/>
              </w:rPr>
              <w:t>PE</w:t>
            </w:r>
            <w:r>
              <w:rPr>
                <w:b/>
                <w:bCs/>
                <w:spacing w:val="-3"/>
                <w:vertAlign w:val="subscript"/>
              </w:rPr>
              <w:t>quarterly</w:t>
            </w:r>
          </w:p>
          <w:p w:rsidR="0019180C" w:rsidRDefault="0019180C">
            <w:pPr>
              <w:suppressAutoHyphens/>
              <w:jc w:val="center"/>
              <w:rPr>
                <w:b/>
                <w:bCs/>
                <w:spacing w:val="-3"/>
              </w:rPr>
            </w:pPr>
            <w:r>
              <w:rPr>
                <w:b/>
                <w:bCs/>
                <w:spacing w:val="-3"/>
              </w:rPr>
              <w:t>(lb/qtr)</w:t>
            </w:r>
          </w:p>
        </w:tc>
      </w:tr>
      <w:tr w:rsidR="005F5702" w:rsidTr="00B031E6">
        <w:tc>
          <w:tcPr>
            <w:tcW w:w="1350" w:type="dxa"/>
            <w:tcBorders>
              <w:top w:val="double" w:sz="6" w:space="0" w:color="auto"/>
              <w:left w:val="double" w:sz="6" w:space="0" w:color="auto"/>
            </w:tcBorders>
            <w:shd w:val="clear" w:color="auto" w:fill="auto"/>
            <w:vAlign w:val="center"/>
          </w:tcPr>
          <w:p w:rsidR="005F5702" w:rsidRDefault="005F5702">
            <w:pPr>
              <w:suppressAutoHyphens/>
              <w:jc w:val="center"/>
              <w:rPr>
                <w:spacing w:val="-3"/>
              </w:rPr>
            </w:pPr>
            <w:r>
              <w:rPr>
                <w:noProof/>
                <w:spacing w:val="-3"/>
              </w:rPr>
              <w:t>NO</w:t>
            </w:r>
            <w:r>
              <w:rPr>
                <w:noProof/>
                <w:spacing w:val="-3"/>
                <w:vertAlign w:val="subscript"/>
              </w:rPr>
              <w:t>x</w:t>
            </w:r>
          </w:p>
        </w:tc>
        <w:tc>
          <w:tcPr>
            <w:tcW w:w="2054" w:type="dxa"/>
            <w:tcBorders>
              <w:top w:val="double" w:sz="6" w:space="0" w:color="auto"/>
              <w:left w:val="single" w:sz="6" w:space="0" w:color="auto"/>
              <w:right w:val="single" w:sz="6" w:space="0" w:color="auto"/>
            </w:tcBorders>
            <w:shd w:val="clear" w:color="auto" w:fill="auto"/>
            <w:vAlign w:val="center"/>
          </w:tcPr>
          <w:p w:rsidR="005F5702" w:rsidRDefault="005F5702">
            <w:pPr>
              <w:suppressAutoHyphens/>
              <w:jc w:val="center"/>
              <w:rPr>
                <w:spacing w:val="-3"/>
              </w:rPr>
            </w:pPr>
            <w:r>
              <w:rPr>
                <w:color w:val="0000FF"/>
                <w:spacing w:val="-3"/>
              </w:rPr>
              <w:t>[  ]</w:t>
            </w:r>
          </w:p>
        </w:tc>
        <w:tc>
          <w:tcPr>
            <w:tcW w:w="2250" w:type="dxa"/>
            <w:tcBorders>
              <w:top w:val="double" w:sz="6" w:space="0" w:color="auto"/>
              <w:left w:val="single" w:sz="6" w:space="0" w:color="auto"/>
            </w:tcBorders>
            <w:vAlign w:val="center"/>
          </w:tcPr>
          <w:p w:rsidR="005F5702" w:rsidRDefault="005F5702">
            <w:pPr>
              <w:suppressAutoHyphens/>
              <w:jc w:val="center"/>
              <w:rPr>
                <w:spacing w:val="-3"/>
              </w:rPr>
            </w:pPr>
            <w:r>
              <w:rPr>
                <w:color w:val="0000FF"/>
                <w:spacing w:val="-3"/>
              </w:rPr>
              <w:t>[  ]</w:t>
            </w:r>
          </w:p>
        </w:tc>
        <w:tc>
          <w:tcPr>
            <w:tcW w:w="2323" w:type="dxa"/>
            <w:tcBorders>
              <w:top w:val="double" w:sz="6" w:space="0" w:color="auto"/>
              <w:left w:val="single" w:sz="6" w:space="0" w:color="auto"/>
              <w:right w:val="double" w:sz="6" w:space="0" w:color="auto"/>
            </w:tcBorders>
            <w:vAlign w:val="center"/>
          </w:tcPr>
          <w:p w:rsidR="005F5702" w:rsidRDefault="005F5702">
            <w:pPr>
              <w:suppressAutoHyphens/>
              <w:jc w:val="center"/>
              <w:rPr>
                <w:spacing w:val="-3"/>
              </w:rPr>
            </w:pPr>
            <w:r>
              <w:rPr>
                <w:color w:val="0000FF"/>
                <w:spacing w:val="-3"/>
              </w:rPr>
              <w:t>[  ]</w:t>
            </w:r>
          </w:p>
        </w:tc>
      </w:tr>
      <w:tr w:rsidR="005F5702" w:rsidTr="00B031E6">
        <w:tc>
          <w:tcPr>
            <w:tcW w:w="1350" w:type="dxa"/>
            <w:tcBorders>
              <w:top w:val="single" w:sz="6" w:space="0" w:color="auto"/>
              <w:left w:val="double" w:sz="6" w:space="0" w:color="auto"/>
            </w:tcBorders>
            <w:shd w:val="clear" w:color="auto" w:fill="auto"/>
            <w:vAlign w:val="center"/>
          </w:tcPr>
          <w:p w:rsidR="005F5702" w:rsidRDefault="005F5702">
            <w:pPr>
              <w:suppressAutoHyphens/>
              <w:jc w:val="center"/>
              <w:rPr>
                <w:spacing w:val="-3"/>
              </w:rPr>
            </w:pPr>
            <w:r>
              <w:rPr>
                <w:noProof/>
                <w:spacing w:val="-3"/>
              </w:rPr>
              <w:t>SO</w:t>
            </w:r>
            <w:r>
              <w:rPr>
                <w:noProof/>
                <w:spacing w:val="-3"/>
                <w:vertAlign w:val="subscript"/>
              </w:rPr>
              <w:t>x</w:t>
            </w:r>
          </w:p>
        </w:tc>
        <w:tc>
          <w:tcPr>
            <w:tcW w:w="2054" w:type="dxa"/>
            <w:tcBorders>
              <w:top w:val="single" w:sz="6" w:space="0" w:color="auto"/>
              <w:left w:val="single" w:sz="6" w:space="0" w:color="auto"/>
              <w:right w:val="single" w:sz="6" w:space="0" w:color="auto"/>
            </w:tcBorders>
            <w:shd w:val="clear" w:color="auto" w:fill="auto"/>
            <w:vAlign w:val="center"/>
          </w:tcPr>
          <w:p w:rsidR="005F5702" w:rsidRDefault="005F5702">
            <w:pPr>
              <w:suppressAutoHyphens/>
              <w:jc w:val="center"/>
              <w:rPr>
                <w:spacing w:val="-3"/>
              </w:rPr>
            </w:pPr>
            <w:r>
              <w:rPr>
                <w:color w:val="0000FF"/>
                <w:spacing w:val="-3"/>
              </w:rPr>
              <w:t>[  ]</w:t>
            </w:r>
          </w:p>
        </w:tc>
        <w:tc>
          <w:tcPr>
            <w:tcW w:w="2250" w:type="dxa"/>
            <w:tcBorders>
              <w:top w:val="single" w:sz="6" w:space="0" w:color="auto"/>
              <w:left w:val="single" w:sz="6" w:space="0" w:color="auto"/>
            </w:tcBorders>
            <w:vAlign w:val="center"/>
          </w:tcPr>
          <w:p w:rsidR="005F5702" w:rsidRDefault="005F5702">
            <w:pPr>
              <w:suppressAutoHyphens/>
              <w:jc w:val="center"/>
              <w:rPr>
                <w:spacing w:val="-3"/>
              </w:rPr>
            </w:pPr>
            <w:r>
              <w:rPr>
                <w:color w:val="0000FF"/>
                <w:spacing w:val="-3"/>
              </w:rPr>
              <w:t>[  ]</w:t>
            </w:r>
          </w:p>
        </w:tc>
        <w:tc>
          <w:tcPr>
            <w:tcW w:w="2323" w:type="dxa"/>
            <w:tcBorders>
              <w:top w:val="single" w:sz="6" w:space="0" w:color="auto"/>
              <w:left w:val="single" w:sz="6" w:space="0" w:color="auto"/>
              <w:right w:val="double" w:sz="6" w:space="0" w:color="auto"/>
            </w:tcBorders>
            <w:vAlign w:val="center"/>
          </w:tcPr>
          <w:p w:rsidR="005F5702" w:rsidRDefault="005F5702">
            <w:pPr>
              <w:suppressAutoHyphens/>
              <w:jc w:val="center"/>
              <w:rPr>
                <w:spacing w:val="-3"/>
              </w:rPr>
            </w:pPr>
            <w:r>
              <w:rPr>
                <w:color w:val="0000FF"/>
                <w:spacing w:val="-3"/>
              </w:rPr>
              <w:t>[  ]</w:t>
            </w:r>
          </w:p>
        </w:tc>
      </w:tr>
      <w:tr w:rsidR="005F5702" w:rsidTr="00B031E6">
        <w:tc>
          <w:tcPr>
            <w:tcW w:w="1350" w:type="dxa"/>
            <w:tcBorders>
              <w:top w:val="single" w:sz="6" w:space="0" w:color="auto"/>
              <w:left w:val="double" w:sz="6" w:space="0" w:color="auto"/>
            </w:tcBorders>
            <w:shd w:val="clear" w:color="auto" w:fill="auto"/>
            <w:vAlign w:val="center"/>
          </w:tcPr>
          <w:p w:rsidR="005F5702" w:rsidRDefault="005F5702">
            <w:pPr>
              <w:suppressAutoHyphens/>
              <w:jc w:val="center"/>
              <w:rPr>
                <w:spacing w:val="-3"/>
              </w:rPr>
            </w:pPr>
            <w:r>
              <w:rPr>
                <w:spacing w:val="-3"/>
              </w:rPr>
              <w:t>PM</w:t>
            </w:r>
            <w:r>
              <w:rPr>
                <w:spacing w:val="-3"/>
                <w:vertAlign w:val="subscript"/>
              </w:rPr>
              <w:t>10</w:t>
            </w:r>
          </w:p>
        </w:tc>
        <w:tc>
          <w:tcPr>
            <w:tcW w:w="2054" w:type="dxa"/>
            <w:tcBorders>
              <w:top w:val="single" w:sz="6" w:space="0" w:color="auto"/>
              <w:left w:val="single" w:sz="6" w:space="0" w:color="auto"/>
              <w:right w:val="single" w:sz="6" w:space="0" w:color="auto"/>
            </w:tcBorders>
            <w:shd w:val="clear" w:color="auto" w:fill="auto"/>
            <w:vAlign w:val="center"/>
          </w:tcPr>
          <w:p w:rsidR="005F5702" w:rsidRDefault="005F5702">
            <w:pPr>
              <w:suppressAutoHyphens/>
              <w:jc w:val="center"/>
              <w:rPr>
                <w:spacing w:val="-3"/>
              </w:rPr>
            </w:pPr>
            <w:r>
              <w:rPr>
                <w:color w:val="0000FF"/>
                <w:spacing w:val="-3"/>
              </w:rPr>
              <w:t>[  ]</w:t>
            </w:r>
          </w:p>
        </w:tc>
        <w:tc>
          <w:tcPr>
            <w:tcW w:w="2250" w:type="dxa"/>
            <w:tcBorders>
              <w:top w:val="single" w:sz="6" w:space="0" w:color="auto"/>
              <w:left w:val="single" w:sz="6" w:space="0" w:color="auto"/>
            </w:tcBorders>
            <w:vAlign w:val="center"/>
          </w:tcPr>
          <w:p w:rsidR="005F5702" w:rsidRDefault="005F5702">
            <w:pPr>
              <w:suppressAutoHyphens/>
              <w:jc w:val="center"/>
              <w:rPr>
                <w:spacing w:val="-3"/>
              </w:rPr>
            </w:pPr>
            <w:r>
              <w:rPr>
                <w:color w:val="0000FF"/>
                <w:spacing w:val="-3"/>
              </w:rPr>
              <w:t>[  ]</w:t>
            </w:r>
          </w:p>
        </w:tc>
        <w:tc>
          <w:tcPr>
            <w:tcW w:w="2323" w:type="dxa"/>
            <w:tcBorders>
              <w:top w:val="single" w:sz="6" w:space="0" w:color="auto"/>
              <w:left w:val="single" w:sz="6" w:space="0" w:color="auto"/>
              <w:right w:val="double" w:sz="6" w:space="0" w:color="auto"/>
            </w:tcBorders>
            <w:vAlign w:val="center"/>
          </w:tcPr>
          <w:p w:rsidR="005F5702" w:rsidRDefault="005F5702">
            <w:pPr>
              <w:suppressAutoHyphens/>
              <w:jc w:val="center"/>
              <w:rPr>
                <w:spacing w:val="-3"/>
              </w:rPr>
            </w:pPr>
            <w:r>
              <w:rPr>
                <w:color w:val="0000FF"/>
                <w:spacing w:val="-3"/>
              </w:rPr>
              <w:t>[  ]</w:t>
            </w:r>
          </w:p>
        </w:tc>
      </w:tr>
      <w:tr w:rsidR="005F5702" w:rsidTr="00B031E6">
        <w:tc>
          <w:tcPr>
            <w:tcW w:w="1350" w:type="dxa"/>
            <w:tcBorders>
              <w:top w:val="single" w:sz="6" w:space="0" w:color="auto"/>
              <w:left w:val="double" w:sz="6" w:space="0" w:color="auto"/>
            </w:tcBorders>
            <w:shd w:val="clear" w:color="auto" w:fill="auto"/>
            <w:vAlign w:val="center"/>
          </w:tcPr>
          <w:p w:rsidR="005F5702" w:rsidRDefault="005F5702">
            <w:pPr>
              <w:suppressAutoHyphens/>
              <w:jc w:val="center"/>
              <w:rPr>
                <w:spacing w:val="-3"/>
              </w:rPr>
            </w:pPr>
            <w:r>
              <w:rPr>
                <w:spacing w:val="-3"/>
              </w:rPr>
              <w:t>CO</w:t>
            </w:r>
          </w:p>
        </w:tc>
        <w:tc>
          <w:tcPr>
            <w:tcW w:w="2054" w:type="dxa"/>
            <w:tcBorders>
              <w:top w:val="single" w:sz="6" w:space="0" w:color="auto"/>
              <w:left w:val="single" w:sz="6" w:space="0" w:color="auto"/>
              <w:right w:val="single" w:sz="6" w:space="0" w:color="auto"/>
            </w:tcBorders>
            <w:shd w:val="clear" w:color="auto" w:fill="auto"/>
            <w:vAlign w:val="center"/>
          </w:tcPr>
          <w:p w:rsidR="005F5702" w:rsidRDefault="005F5702">
            <w:pPr>
              <w:suppressAutoHyphens/>
              <w:jc w:val="center"/>
              <w:rPr>
                <w:spacing w:val="-3"/>
              </w:rPr>
            </w:pPr>
            <w:r>
              <w:rPr>
                <w:color w:val="0000FF"/>
                <w:spacing w:val="-3"/>
              </w:rPr>
              <w:t>[  ]</w:t>
            </w:r>
          </w:p>
        </w:tc>
        <w:tc>
          <w:tcPr>
            <w:tcW w:w="2250" w:type="dxa"/>
            <w:tcBorders>
              <w:top w:val="single" w:sz="6" w:space="0" w:color="auto"/>
              <w:left w:val="single" w:sz="6" w:space="0" w:color="auto"/>
            </w:tcBorders>
            <w:vAlign w:val="center"/>
          </w:tcPr>
          <w:p w:rsidR="005F5702" w:rsidRDefault="005F5702">
            <w:pPr>
              <w:suppressAutoHyphens/>
              <w:jc w:val="center"/>
              <w:rPr>
                <w:spacing w:val="-3"/>
              </w:rPr>
            </w:pPr>
            <w:r>
              <w:rPr>
                <w:color w:val="0000FF"/>
                <w:spacing w:val="-3"/>
              </w:rPr>
              <w:t>[  ]</w:t>
            </w:r>
          </w:p>
        </w:tc>
        <w:tc>
          <w:tcPr>
            <w:tcW w:w="2323" w:type="dxa"/>
            <w:tcBorders>
              <w:top w:val="single" w:sz="6" w:space="0" w:color="auto"/>
              <w:left w:val="single" w:sz="6" w:space="0" w:color="auto"/>
              <w:right w:val="double" w:sz="6" w:space="0" w:color="auto"/>
            </w:tcBorders>
            <w:vAlign w:val="center"/>
          </w:tcPr>
          <w:p w:rsidR="005F5702" w:rsidRDefault="005F5702">
            <w:pPr>
              <w:suppressAutoHyphens/>
              <w:jc w:val="center"/>
              <w:rPr>
                <w:spacing w:val="-3"/>
              </w:rPr>
            </w:pPr>
            <w:r>
              <w:rPr>
                <w:color w:val="0000FF"/>
                <w:spacing w:val="-3"/>
              </w:rPr>
              <w:t>[  ]</w:t>
            </w:r>
          </w:p>
        </w:tc>
      </w:tr>
      <w:tr w:rsidR="0019180C" w:rsidTr="00B031E6">
        <w:tc>
          <w:tcPr>
            <w:tcW w:w="1350" w:type="dxa"/>
            <w:tcBorders>
              <w:top w:val="single" w:sz="6" w:space="0" w:color="auto"/>
              <w:left w:val="double" w:sz="6" w:space="0" w:color="auto"/>
              <w:bottom w:val="double" w:sz="6" w:space="0" w:color="auto"/>
            </w:tcBorders>
            <w:shd w:val="clear" w:color="auto" w:fill="auto"/>
            <w:vAlign w:val="center"/>
          </w:tcPr>
          <w:p w:rsidR="0019180C" w:rsidRDefault="0019180C">
            <w:pPr>
              <w:suppressAutoHyphens/>
              <w:jc w:val="center"/>
              <w:rPr>
                <w:spacing w:val="-3"/>
              </w:rPr>
            </w:pPr>
            <w:r>
              <w:rPr>
                <w:spacing w:val="-3"/>
              </w:rPr>
              <w:t>VOC</w:t>
            </w:r>
          </w:p>
        </w:tc>
        <w:tc>
          <w:tcPr>
            <w:tcW w:w="2054" w:type="dxa"/>
            <w:tcBorders>
              <w:top w:val="single" w:sz="6" w:space="0" w:color="auto"/>
              <w:left w:val="single" w:sz="6" w:space="0" w:color="auto"/>
              <w:bottom w:val="double" w:sz="6" w:space="0" w:color="auto"/>
              <w:right w:val="single" w:sz="6" w:space="0" w:color="auto"/>
            </w:tcBorders>
            <w:shd w:val="clear" w:color="auto" w:fill="auto"/>
            <w:vAlign w:val="center"/>
          </w:tcPr>
          <w:p w:rsidR="0019180C" w:rsidRDefault="0019180C">
            <w:pPr>
              <w:suppressAutoHyphens/>
              <w:jc w:val="center"/>
              <w:rPr>
                <w:color w:val="0000FF"/>
                <w:spacing w:val="-3"/>
              </w:rPr>
            </w:pPr>
            <w:r>
              <w:rPr>
                <w:color w:val="0000FF"/>
                <w:spacing w:val="-3"/>
              </w:rPr>
              <w:t>[  ]</w:t>
            </w:r>
          </w:p>
        </w:tc>
        <w:tc>
          <w:tcPr>
            <w:tcW w:w="2250" w:type="dxa"/>
            <w:tcBorders>
              <w:top w:val="single" w:sz="6" w:space="0" w:color="auto"/>
              <w:left w:val="single" w:sz="6" w:space="0" w:color="auto"/>
              <w:bottom w:val="double" w:sz="6" w:space="0" w:color="auto"/>
            </w:tcBorders>
            <w:vAlign w:val="center"/>
          </w:tcPr>
          <w:p w:rsidR="0019180C" w:rsidRDefault="0019180C">
            <w:pPr>
              <w:suppressAutoHyphens/>
              <w:jc w:val="center"/>
              <w:rPr>
                <w:color w:val="0000FF"/>
                <w:spacing w:val="-3"/>
              </w:rPr>
            </w:pPr>
            <w:r>
              <w:rPr>
                <w:color w:val="0000FF"/>
                <w:spacing w:val="-3"/>
              </w:rPr>
              <w:t>[  ]</w:t>
            </w:r>
          </w:p>
        </w:tc>
        <w:tc>
          <w:tcPr>
            <w:tcW w:w="2323" w:type="dxa"/>
            <w:tcBorders>
              <w:top w:val="single" w:sz="6" w:space="0" w:color="auto"/>
              <w:left w:val="single" w:sz="6" w:space="0" w:color="auto"/>
              <w:bottom w:val="double" w:sz="6" w:space="0" w:color="auto"/>
              <w:right w:val="double" w:sz="6" w:space="0" w:color="auto"/>
            </w:tcBorders>
            <w:vAlign w:val="center"/>
          </w:tcPr>
          <w:p w:rsidR="0019180C" w:rsidRDefault="0019180C">
            <w:pPr>
              <w:suppressAutoHyphens/>
              <w:jc w:val="center"/>
              <w:rPr>
                <w:color w:val="0000FF"/>
                <w:spacing w:val="-3"/>
              </w:rPr>
            </w:pPr>
            <w:r>
              <w:rPr>
                <w:color w:val="0000FF"/>
                <w:spacing w:val="-3"/>
              </w:rPr>
              <w:t>[  ]</w:t>
            </w:r>
          </w:p>
        </w:tc>
      </w:tr>
    </w:tbl>
    <w:p w:rsidR="0019180C" w:rsidRDefault="0019180C">
      <w:pPr>
        <w:suppressAutoHyphens/>
        <w:ind w:left="720" w:firstLine="720"/>
        <w:jc w:val="both"/>
        <w:rPr>
          <w:spacing w:val="-3"/>
          <w:sz w:val="20"/>
        </w:rPr>
      </w:pPr>
      <w:r>
        <w:rPr>
          <w:spacing w:val="-3"/>
          <w:sz w:val="20"/>
        </w:rPr>
        <w:t>Note: PE</w:t>
      </w:r>
      <w:r>
        <w:rPr>
          <w:spacing w:val="-3"/>
          <w:sz w:val="20"/>
          <w:vertAlign w:val="subscript"/>
        </w:rPr>
        <w:t xml:space="preserve">annual </w:t>
      </w:r>
      <w:r>
        <w:rPr>
          <w:spacing w:val="-3"/>
          <w:sz w:val="20"/>
        </w:rPr>
        <w:t>(lb/yr) = PE</w:t>
      </w:r>
      <w:r>
        <w:rPr>
          <w:spacing w:val="-3"/>
          <w:sz w:val="20"/>
          <w:vertAlign w:val="subscript"/>
        </w:rPr>
        <w:t xml:space="preserve">Controlled </w:t>
      </w:r>
      <w:r>
        <w:rPr>
          <w:spacing w:val="-3"/>
          <w:sz w:val="20"/>
        </w:rPr>
        <w:t>(lb/day) x 365 (days/yr)</w:t>
      </w:r>
    </w:p>
    <w:p w:rsidR="0019180C" w:rsidRDefault="0019180C">
      <w:pPr>
        <w:suppressAutoHyphens/>
        <w:spacing w:before="90"/>
        <w:ind w:left="720" w:firstLine="720"/>
        <w:rPr>
          <w:spacing w:val="-3"/>
          <w:sz w:val="20"/>
        </w:rPr>
      </w:pPr>
      <w:r>
        <w:rPr>
          <w:spacing w:val="-3"/>
          <w:sz w:val="20"/>
        </w:rPr>
        <w:t>Note: PE</w:t>
      </w:r>
      <w:r>
        <w:rPr>
          <w:spacing w:val="-3"/>
          <w:sz w:val="20"/>
          <w:vertAlign w:val="subscript"/>
        </w:rPr>
        <w:t xml:space="preserve">Quarterly </w:t>
      </w:r>
      <w:r>
        <w:rPr>
          <w:spacing w:val="-3"/>
          <w:sz w:val="20"/>
        </w:rPr>
        <w:t>(lb/qtr) = (PE</w:t>
      </w:r>
      <w:r>
        <w:rPr>
          <w:spacing w:val="-3"/>
          <w:sz w:val="20"/>
          <w:vertAlign w:val="subscript"/>
        </w:rPr>
        <w:t>Annual</w:t>
      </w:r>
      <w:r>
        <w:rPr>
          <w:spacing w:val="-3"/>
          <w:sz w:val="20"/>
        </w:rPr>
        <w:t xml:space="preserve">) (lb/yr) </w:t>
      </w:r>
      <w:r>
        <w:rPr>
          <w:rFonts w:cs="Arial"/>
          <w:sz w:val="20"/>
          <w:szCs w:val="26"/>
        </w:rPr>
        <w:t>÷</w:t>
      </w:r>
      <w:r>
        <w:rPr>
          <w:spacing w:val="-3"/>
          <w:sz w:val="20"/>
        </w:rPr>
        <w:t xml:space="preserve"> 4 (qtr/yr)</w:t>
      </w:r>
    </w:p>
    <w:p w:rsidR="0019180C" w:rsidRDefault="0019180C">
      <w:pPr>
        <w:suppressAutoHyphens/>
        <w:jc w:val="both"/>
        <w:rPr>
          <w:b/>
          <w:bCs/>
          <w:spacing w:val="-3"/>
        </w:rPr>
      </w:pPr>
    </w:p>
    <w:p w:rsidR="0019180C" w:rsidRDefault="0019180C">
      <w:pPr>
        <w:ind w:left="720"/>
        <w:rPr>
          <w:u w:val="single"/>
        </w:rPr>
      </w:pPr>
      <w:r>
        <w:rPr>
          <w:u w:val="single"/>
        </w:rPr>
        <w:t>Emissions from Combustion of Supplemental Fuel:</w:t>
      </w:r>
    </w:p>
    <w:p w:rsidR="0019180C" w:rsidRDefault="0019180C">
      <w:pPr>
        <w:pStyle w:val="FootnoteText"/>
        <w:ind w:left="720"/>
        <w:rPr>
          <w:rFonts w:ascii="Arial" w:hAnsi="Arial"/>
        </w:rPr>
      </w:pPr>
      <w:r>
        <w:rPr>
          <w:rFonts w:ascii="Arial" w:hAnsi="Arial"/>
        </w:rPr>
        <w:tab/>
      </w:r>
    </w:p>
    <w:p w:rsidR="0019180C" w:rsidRDefault="0019180C">
      <w:pPr>
        <w:ind w:left="720"/>
        <w:rPr>
          <w:i/>
          <w:iCs/>
          <w:color w:val="FF0000"/>
        </w:rPr>
      </w:pPr>
      <w:r>
        <w:rPr>
          <w:i/>
          <w:iCs/>
          <w:color w:val="FF0000"/>
        </w:rPr>
        <w:t>(Note: Delete this section if the emission unit is exclusively an electrically heated catalytic oxidizer)</w:t>
      </w:r>
    </w:p>
    <w:p w:rsidR="0019180C" w:rsidRDefault="0019180C">
      <w:pPr>
        <w:ind w:left="720"/>
        <w:rPr>
          <w:i/>
          <w:iCs/>
        </w:rPr>
      </w:pPr>
    </w:p>
    <w:tbl>
      <w:tblPr>
        <w:tblW w:w="9450" w:type="dxa"/>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60"/>
        <w:gridCol w:w="6390"/>
      </w:tblGrid>
      <w:tr w:rsidR="0019180C">
        <w:tc>
          <w:tcPr>
            <w:tcW w:w="3060" w:type="dxa"/>
          </w:tcPr>
          <w:p w:rsidR="0019180C" w:rsidRDefault="0019180C">
            <w:pPr>
              <w:suppressAutoHyphens/>
              <w:jc w:val="right"/>
              <w:rPr>
                <w:spacing w:val="-3"/>
              </w:rPr>
            </w:pPr>
            <w:r>
              <w:rPr>
                <w:spacing w:val="-3"/>
              </w:rPr>
              <w:t>Max Burner Rating =</w:t>
            </w:r>
          </w:p>
        </w:tc>
        <w:tc>
          <w:tcPr>
            <w:tcW w:w="6390" w:type="dxa"/>
          </w:tcPr>
          <w:p w:rsidR="0019180C" w:rsidRDefault="0019180C">
            <w:pPr>
              <w:pStyle w:val="FootnoteText"/>
              <w:suppressAutoHyphens/>
              <w:ind w:left="-18" w:firstLine="18"/>
              <w:rPr>
                <w:rFonts w:ascii="Arial" w:hAnsi="Arial"/>
                <w:spacing w:val="-3"/>
              </w:rPr>
            </w:pPr>
            <w:r>
              <w:rPr>
                <w:rFonts w:ascii="Arial" w:hAnsi="Arial"/>
                <w:color w:val="0000FF"/>
                <w:spacing w:val="-3"/>
              </w:rPr>
              <w:t>[  ]</w:t>
            </w:r>
            <w:r>
              <w:rPr>
                <w:rFonts w:ascii="Arial" w:hAnsi="Arial"/>
                <w:spacing w:val="-3"/>
              </w:rPr>
              <w:t xml:space="preserve"> MMBtu/hr</w:t>
            </w:r>
          </w:p>
        </w:tc>
      </w:tr>
      <w:tr w:rsidR="0019180C">
        <w:tc>
          <w:tcPr>
            <w:tcW w:w="3060" w:type="dxa"/>
          </w:tcPr>
          <w:p w:rsidR="0019180C" w:rsidRDefault="0019180C">
            <w:pPr>
              <w:suppressAutoHyphens/>
              <w:jc w:val="right"/>
              <w:rPr>
                <w:spacing w:val="-3"/>
              </w:rPr>
            </w:pPr>
            <w:r>
              <w:rPr>
                <w:spacing w:val="-3"/>
              </w:rPr>
              <w:t>Operating hours =</w:t>
            </w:r>
          </w:p>
        </w:tc>
        <w:tc>
          <w:tcPr>
            <w:tcW w:w="6390" w:type="dxa"/>
          </w:tcPr>
          <w:p w:rsidR="0019180C" w:rsidRDefault="0019180C">
            <w:pPr>
              <w:pStyle w:val="FootnoteText"/>
              <w:suppressAutoHyphens/>
              <w:ind w:left="-18" w:firstLine="18"/>
              <w:rPr>
                <w:rFonts w:ascii="Arial" w:hAnsi="Arial"/>
                <w:spacing w:val="-3"/>
              </w:rPr>
            </w:pPr>
            <w:r>
              <w:rPr>
                <w:rFonts w:ascii="Arial" w:hAnsi="Arial"/>
                <w:color w:val="0000FF"/>
                <w:spacing w:val="-3"/>
              </w:rPr>
              <w:t>24</w:t>
            </w:r>
            <w:r>
              <w:rPr>
                <w:rFonts w:ascii="Arial" w:hAnsi="Arial"/>
                <w:spacing w:val="-3"/>
              </w:rPr>
              <w:t xml:space="preserve"> hr/day</w:t>
            </w:r>
          </w:p>
        </w:tc>
      </w:tr>
      <w:tr w:rsidR="0019180C">
        <w:tc>
          <w:tcPr>
            <w:tcW w:w="3060" w:type="dxa"/>
          </w:tcPr>
          <w:p w:rsidR="0019180C" w:rsidRDefault="0019180C">
            <w:pPr>
              <w:suppressAutoHyphens/>
              <w:jc w:val="right"/>
              <w:rPr>
                <w:spacing w:val="-3"/>
              </w:rPr>
            </w:pPr>
          </w:p>
        </w:tc>
        <w:tc>
          <w:tcPr>
            <w:tcW w:w="6390" w:type="dxa"/>
          </w:tcPr>
          <w:p w:rsidR="0019180C" w:rsidRDefault="0019180C">
            <w:pPr>
              <w:pStyle w:val="FootnoteText"/>
              <w:suppressAutoHyphens/>
              <w:rPr>
                <w:rFonts w:ascii="Arial" w:hAnsi="Arial"/>
                <w:spacing w:val="-3"/>
              </w:rPr>
            </w:pPr>
          </w:p>
        </w:tc>
      </w:tr>
      <w:tr w:rsidR="0019180C">
        <w:trPr>
          <w:trHeight w:val="545"/>
        </w:trPr>
        <w:tc>
          <w:tcPr>
            <w:tcW w:w="3060" w:type="dxa"/>
          </w:tcPr>
          <w:p w:rsidR="0019180C" w:rsidRDefault="0019180C">
            <w:pPr>
              <w:suppressAutoHyphens/>
              <w:jc w:val="right"/>
              <w:rPr>
                <w:spacing w:val="-3"/>
              </w:rPr>
            </w:pPr>
            <w:r>
              <w:rPr>
                <w:spacing w:val="-3"/>
              </w:rPr>
              <w:t>PE</w:t>
            </w:r>
            <w:r>
              <w:rPr>
                <w:color w:val="0000FF"/>
                <w:spacing w:val="-3"/>
                <w:vertAlign w:val="subscript"/>
              </w:rPr>
              <w:t>Natural Gas/LPG</w:t>
            </w:r>
            <w:r>
              <w:rPr>
                <w:color w:val="FF0000"/>
                <w:spacing w:val="-3"/>
              </w:rPr>
              <w:t xml:space="preserve"> </w:t>
            </w:r>
            <w:r>
              <w:rPr>
                <w:spacing w:val="-3"/>
              </w:rPr>
              <w:t>(lb/day) =</w:t>
            </w:r>
          </w:p>
        </w:tc>
        <w:tc>
          <w:tcPr>
            <w:tcW w:w="6390" w:type="dxa"/>
          </w:tcPr>
          <w:p w:rsidR="0019180C" w:rsidRDefault="0019180C">
            <w:pPr>
              <w:pStyle w:val="FootnoteText"/>
              <w:suppressAutoHyphens/>
              <w:rPr>
                <w:rFonts w:ascii="Arial" w:hAnsi="Arial"/>
                <w:spacing w:val="-3"/>
              </w:rPr>
            </w:pPr>
            <w:r>
              <w:rPr>
                <w:rFonts w:ascii="Arial" w:hAnsi="Arial"/>
                <w:spacing w:val="-3"/>
              </w:rPr>
              <w:t xml:space="preserve">Max </w:t>
            </w:r>
            <w:r>
              <w:rPr>
                <w:rFonts w:ascii="Arial" w:hAnsi="Arial"/>
                <w:color w:val="0000FF"/>
                <w:spacing w:val="-3"/>
              </w:rPr>
              <w:t>Natural Gas/LPG</w:t>
            </w:r>
            <w:r>
              <w:rPr>
                <w:rFonts w:ascii="Arial" w:hAnsi="Arial"/>
                <w:spacing w:val="-3"/>
              </w:rPr>
              <w:t xml:space="preserve"> (MMBtu/hr) x EF (lb/MMBtu) x 24 hr/day</w:t>
            </w:r>
          </w:p>
        </w:tc>
      </w:tr>
      <w:tr w:rsidR="0019180C">
        <w:tc>
          <w:tcPr>
            <w:tcW w:w="3060" w:type="dxa"/>
          </w:tcPr>
          <w:p w:rsidR="0019180C" w:rsidRDefault="0019180C">
            <w:pPr>
              <w:suppressAutoHyphens/>
              <w:jc w:val="right"/>
              <w:rPr>
                <w:spacing w:val="-3"/>
              </w:rPr>
            </w:pPr>
            <w:r>
              <w:rPr>
                <w:spacing w:val="-3"/>
              </w:rPr>
              <w:t>PE</w:t>
            </w:r>
            <w:r>
              <w:rPr>
                <w:color w:val="0000FF"/>
                <w:spacing w:val="-3"/>
                <w:vertAlign w:val="subscript"/>
              </w:rPr>
              <w:t>NOx</w:t>
            </w:r>
            <w:r>
              <w:rPr>
                <w:color w:val="FF0000"/>
                <w:spacing w:val="-3"/>
              </w:rPr>
              <w:t xml:space="preserve"> </w:t>
            </w:r>
            <w:r>
              <w:rPr>
                <w:spacing w:val="-3"/>
              </w:rPr>
              <w:t>(lb/day) =</w:t>
            </w:r>
          </w:p>
        </w:tc>
        <w:tc>
          <w:tcPr>
            <w:tcW w:w="6390" w:type="dxa"/>
          </w:tcPr>
          <w:p w:rsidR="0019180C" w:rsidRDefault="0019180C">
            <w:pPr>
              <w:pStyle w:val="FootnoteText"/>
              <w:suppressAutoHyphens/>
              <w:rPr>
                <w:rFonts w:ascii="Arial" w:hAnsi="Arial"/>
                <w:spacing w:val="-3"/>
              </w:rPr>
            </w:pPr>
            <w:r>
              <w:rPr>
                <w:rFonts w:ascii="Arial" w:hAnsi="Arial"/>
                <w:color w:val="0000FF"/>
                <w:spacing w:val="-3"/>
              </w:rPr>
              <w:t>[  ]</w:t>
            </w:r>
            <w:r>
              <w:rPr>
                <w:rFonts w:ascii="Arial" w:hAnsi="Arial"/>
                <w:spacing w:val="-3"/>
              </w:rPr>
              <w:t xml:space="preserve"> MMBtu/hr x </w:t>
            </w:r>
            <w:r>
              <w:rPr>
                <w:rFonts w:ascii="Arial" w:hAnsi="Arial"/>
                <w:color w:val="0000FF"/>
                <w:spacing w:val="-3"/>
              </w:rPr>
              <w:t xml:space="preserve">[  ] lb-NOx/MMBtu </w:t>
            </w:r>
            <w:r>
              <w:rPr>
                <w:rFonts w:ascii="Arial" w:hAnsi="Arial"/>
                <w:spacing w:val="-3"/>
              </w:rPr>
              <w:t>x 24 hr/day</w:t>
            </w:r>
          </w:p>
        </w:tc>
      </w:tr>
      <w:tr w:rsidR="0019180C">
        <w:tc>
          <w:tcPr>
            <w:tcW w:w="3060" w:type="dxa"/>
          </w:tcPr>
          <w:p w:rsidR="0019180C" w:rsidRDefault="0019180C">
            <w:pPr>
              <w:suppressAutoHyphens/>
              <w:jc w:val="right"/>
              <w:rPr>
                <w:spacing w:val="-3"/>
              </w:rPr>
            </w:pPr>
            <w:r>
              <w:rPr>
                <w:spacing w:val="-3"/>
              </w:rPr>
              <w:t>=</w:t>
            </w:r>
          </w:p>
        </w:tc>
        <w:tc>
          <w:tcPr>
            <w:tcW w:w="6390" w:type="dxa"/>
          </w:tcPr>
          <w:p w:rsidR="0019180C" w:rsidRDefault="0019180C">
            <w:pPr>
              <w:pStyle w:val="FootnoteText"/>
              <w:suppressAutoHyphens/>
              <w:rPr>
                <w:rFonts w:ascii="Arial" w:hAnsi="Arial"/>
                <w:spacing w:val="-3"/>
              </w:rPr>
            </w:pPr>
            <w:r>
              <w:rPr>
                <w:rFonts w:ascii="Arial" w:hAnsi="Arial"/>
                <w:color w:val="0000FF"/>
                <w:spacing w:val="-3"/>
              </w:rPr>
              <w:t>[  ]</w:t>
            </w:r>
            <w:r>
              <w:rPr>
                <w:rFonts w:ascii="Arial" w:hAnsi="Arial"/>
                <w:spacing w:val="-3"/>
              </w:rPr>
              <w:t xml:space="preserve"> lb-NOx/day</w:t>
            </w:r>
          </w:p>
        </w:tc>
      </w:tr>
      <w:tr w:rsidR="0019180C">
        <w:tc>
          <w:tcPr>
            <w:tcW w:w="3060" w:type="dxa"/>
          </w:tcPr>
          <w:p w:rsidR="0019180C" w:rsidRDefault="0019180C">
            <w:pPr>
              <w:suppressAutoHyphens/>
              <w:jc w:val="right"/>
              <w:rPr>
                <w:spacing w:val="-3"/>
              </w:rPr>
            </w:pPr>
          </w:p>
        </w:tc>
        <w:tc>
          <w:tcPr>
            <w:tcW w:w="6390" w:type="dxa"/>
          </w:tcPr>
          <w:p w:rsidR="0019180C" w:rsidRDefault="0019180C">
            <w:pPr>
              <w:pStyle w:val="FootnoteText"/>
              <w:suppressAutoHyphens/>
              <w:rPr>
                <w:rFonts w:ascii="Arial" w:hAnsi="Arial"/>
                <w:color w:val="0000FF"/>
                <w:spacing w:val="-3"/>
              </w:rPr>
            </w:pPr>
          </w:p>
        </w:tc>
      </w:tr>
      <w:tr w:rsidR="0019180C">
        <w:tc>
          <w:tcPr>
            <w:tcW w:w="3060" w:type="dxa"/>
          </w:tcPr>
          <w:p w:rsidR="0019180C" w:rsidRDefault="0019180C">
            <w:pPr>
              <w:suppressAutoHyphens/>
              <w:jc w:val="right"/>
              <w:rPr>
                <w:spacing w:val="-3"/>
              </w:rPr>
            </w:pPr>
            <w:r>
              <w:rPr>
                <w:spacing w:val="-3"/>
              </w:rPr>
              <w:t>PE</w:t>
            </w:r>
            <w:r>
              <w:rPr>
                <w:color w:val="0000FF"/>
                <w:spacing w:val="-3"/>
                <w:vertAlign w:val="subscript"/>
              </w:rPr>
              <w:t>SOx</w:t>
            </w:r>
            <w:r>
              <w:rPr>
                <w:color w:val="FF0000"/>
                <w:spacing w:val="-3"/>
              </w:rPr>
              <w:t xml:space="preserve"> </w:t>
            </w:r>
            <w:r>
              <w:rPr>
                <w:spacing w:val="-3"/>
              </w:rPr>
              <w:t>(lb/day) =</w:t>
            </w:r>
          </w:p>
        </w:tc>
        <w:tc>
          <w:tcPr>
            <w:tcW w:w="6390" w:type="dxa"/>
          </w:tcPr>
          <w:p w:rsidR="0019180C" w:rsidRDefault="0019180C">
            <w:pPr>
              <w:pStyle w:val="FootnoteText"/>
              <w:suppressAutoHyphens/>
              <w:rPr>
                <w:rFonts w:ascii="Arial" w:hAnsi="Arial"/>
                <w:spacing w:val="-3"/>
              </w:rPr>
            </w:pPr>
            <w:r>
              <w:rPr>
                <w:rFonts w:ascii="Arial" w:hAnsi="Arial"/>
                <w:color w:val="0000FF"/>
                <w:spacing w:val="-3"/>
              </w:rPr>
              <w:t>[  ]</w:t>
            </w:r>
            <w:r>
              <w:rPr>
                <w:rFonts w:ascii="Arial" w:hAnsi="Arial"/>
                <w:spacing w:val="-3"/>
              </w:rPr>
              <w:t xml:space="preserve"> MMBtu/hr x </w:t>
            </w:r>
            <w:r>
              <w:rPr>
                <w:rFonts w:ascii="Arial" w:hAnsi="Arial"/>
                <w:color w:val="0000FF"/>
                <w:spacing w:val="-3"/>
              </w:rPr>
              <w:t xml:space="preserve">[  ] lb-SOx/MMBtu </w:t>
            </w:r>
            <w:r>
              <w:rPr>
                <w:rFonts w:ascii="Arial" w:hAnsi="Arial"/>
                <w:spacing w:val="-3"/>
              </w:rPr>
              <w:t>x 24 hr/day</w:t>
            </w:r>
          </w:p>
        </w:tc>
      </w:tr>
      <w:tr w:rsidR="0019180C">
        <w:tc>
          <w:tcPr>
            <w:tcW w:w="3060" w:type="dxa"/>
          </w:tcPr>
          <w:p w:rsidR="0019180C" w:rsidRDefault="0019180C">
            <w:pPr>
              <w:suppressAutoHyphens/>
              <w:jc w:val="right"/>
              <w:rPr>
                <w:spacing w:val="-3"/>
              </w:rPr>
            </w:pPr>
            <w:r>
              <w:rPr>
                <w:spacing w:val="-3"/>
              </w:rPr>
              <w:t>=</w:t>
            </w:r>
          </w:p>
        </w:tc>
        <w:tc>
          <w:tcPr>
            <w:tcW w:w="6390" w:type="dxa"/>
          </w:tcPr>
          <w:p w:rsidR="0019180C" w:rsidRDefault="0019180C">
            <w:pPr>
              <w:pStyle w:val="FootnoteText"/>
              <w:suppressAutoHyphens/>
              <w:rPr>
                <w:rFonts w:ascii="Arial" w:hAnsi="Arial"/>
                <w:spacing w:val="-3"/>
              </w:rPr>
            </w:pPr>
            <w:r>
              <w:rPr>
                <w:rFonts w:ascii="Arial" w:hAnsi="Arial"/>
                <w:color w:val="0000FF"/>
                <w:spacing w:val="-3"/>
              </w:rPr>
              <w:t>[  ]</w:t>
            </w:r>
            <w:r>
              <w:rPr>
                <w:rFonts w:ascii="Arial" w:hAnsi="Arial"/>
                <w:spacing w:val="-3"/>
              </w:rPr>
              <w:t xml:space="preserve"> lb-SOx/day</w:t>
            </w:r>
          </w:p>
        </w:tc>
      </w:tr>
      <w:tr w:rsidR="0019180C">
        <w:tc>
          <w:tcPr>
            <w:tcW w:w="3060" w:type="dxa"/>
          </w:tcPr>
          <w:p w:rsidR="0019180C" w:rsidRDefault="0019180C">
            <w:pPr>
              <w:suppressAutoHyphens/>
              <w:jc w:val="right"/>
              <w:rPr>
                <w:spacing w:val="-3"/>
              </w:rPr>
            </w:pPr>
          </w:p>
        </w:tc>
        <w:tc>
          <w:tcPr>
            <w:tcW w:w="6390" w:type="dxa"/>
          </w:tcPr>
          <w:p w:rsidR="0019180C" w:rsidRDefault="0019180C">
            <w:pPr>
              <w:pStyle w:val="FootnoteText"/>
              <w:suppressAutoHyphens/>
              <w:rPr>
                <w:rFonts w:ascii="Arial" w:hAnsi="Arial"/>
                <w:color w:val="0000FF"/>
                <w:spacing w:val="-3"/>
              </w:rPr>
            </w:pPr>
          </w:p>
        </w:tc>
      </w:tr>
      <w:tr w:rsidR="0019180C">
        <w:tc>
          <w:tcPr>
            <w:tcW w:w="3060" w:type="dxa"/>
          </w:tcPr>
          <w:p w:rsidR="0019180C" w:rsidRDefault="0019180C">
            <w:pPr>
              <w:suppressAutoHyphens/>
              <w:jc w:val="right"/>
              <w:rPr>
                <w:spacing w:val="-3"/>
              </w:rPr>
            </w:pPr>
            <w:r>
              <w:rPr>
                <w:spacing w:val="-3"/>
              </w:rPr>
              <w:t>PE</w:t>
            </w:r>
            <w:r>
              <w:rPr>
                <w:color w:val="0000FF"/>
                <w:spacing w:val="-3"/>
                <w:vertAlign w:val="subscript"/>
              </w:rPr>
              <w:t>PM10</w:t>
            </w:r>
            <w:r>
              <w:rPr>
                <w:color w:val="FF0000"/>
                <w:spacing w:val="-3"/>
              </w:rPr>
              <w:t xml:space="preserve"> </w:t>
            </w:r>
            <w:r>
              <w:rPr>
                <w:spacing w:val="-3"/>
              </w:rPr>
              <w:t>(lb/day) =</w:t>
            </w:r>
          </w:p>
        </w:tc>
        <w:tc>
          <w:tcPr>
            <w:tcW w:w="6390" w:type="dxa"/>
          </w:tcPr>
          <w:p w:rsidR="0019180C" w:rsidRDefault="0019180C">
            <w:pPr>
              <w:pStyle w:val="FootnoteText"/>
              <w:suppressAutoHyphens/>
              <w:rPr>
                <w:rFonts w:ascii="Arial" w:hAnsi="Arial"/>
                <w:spacing w:val="-3"/>
              </w:rPr>
            </w:pPr>
            <w:r>
              <w:rPr>
                <w:rFonts w:ascii="Arial" w:hAnsi="Arial"/>
                <w:color w:val="0000FF"/>
                <w:spacing w:val="-3"/>
              </w:rPr>
              <w:t>[  ]</w:t>
            </w:r>
            <w:r>
              <w:rPr>
                <w:rFonts w:ascii="Arial" w:hAnsi="Arial"/>
                <w:spacing w:val="-3"/>
              </w:rPr>
              <w:t xml:space="preserve"> MMBtu/hr x </w:t>
            </w:r>
            <w:r>
              <w:rPr>
                <w:rFonts w:ascii="Arial" w:hAnsi="Arial"/>
                <w:color w:val="0000FF"/>
                <w:spacing w:val="-3"/>
              </w:rPr>
              <w:t>[  ] lb-PM</w:t>
            </w:r>
            <w:r>
              <w:rPr>
                <w:rFonts w:ascii="Arial" w:hAnsi="Arial"/>
                <w:color w:val="0000FF"/>
                <w:spacing w:val="-3"/>
                <w:vertAlign w:val="subscript"/>
              </w:rPr>
              <w:t>10</w:t>
            </w:r>
            <w:r>
              <w:rPr>
                <w:rFonts w:ascii="Arial" w:hAnsi="Arial"/>
                <w:color w:val="0000FF"/>
                <w:spacing w:val="-3"/>
              </w:rPr>
              <w:t xml:space="preserve">/MMBtu </w:t>
            </w:r>
            <w:r>
              <w:rPr>
                <w:rFonts w:ascii="Arial" w:hAnsi="Arial"/>
                <w:spacing w:val="-3"/>
              </w:rPr>
              <w:t>x 24 hr/day</w:t>
            </w:r>
          </w:p>
        </w:tc>
      </w:tr>
      <w:tr w:rsidR="0019180C">
        <w:tc>
          <w:tcPr>
            <w:tcW w:w="3060" w:type="dxa"/>
          </w:tcPr>
          <w:p w:rsidR="0019180C" w:rsidRDefault="0019180C">
            <w:pPr>
              <w:suppressAutoHyphens/>
              <w:jc w:val="right"/>
              <w:rPr>
                <w:spacing w:val="-3"/>
              </w:rPr>
            </w:pPr>
            <w:r>
              <w:rPr>
                <w:spacing w:val="-3"/>
              </w:rPr>
              <w:t>=</w:t>
            </w:r>
          </w:p>
        </w:tc>
        <w:tc>
          <w:tcPr>
            <w:tcW w:w="6390" w:type="dxa"/>
          </w:tcPr>
          <w:p w:rsidR="0019180C" w:rsidRDefault="0019180C">
            <w:pPr>
              <w:pStyle w:val="FootnoteText"/>
              <w:suppressAutoHyphens/>
              <w:rPr>
                <w:rFonts w:ascii="Arial" w:hAnsi="Arial"/>
                <w:spacing w:val="-3"/>
              </w:rPr>
            </w:pPr>
            <w:r>
              <w:rPr>
                <w:rFonts w:ascii="Arial" w:hAnsi="Arial"/>
                <w:color w:val="0000FF"/>
                <w:spacing w:val="-3"/>
              </w:rPr>
              <w:t>[  ]</w:t>
            </w:r>
            <w:r>
              <w:rPr>
                <w:rFonts w:ascii="Arial" w:hAnsi="Arial"/>
                <w:spacing w:val="-3"/>
              </w:rPr>
              <w:t xml:space="preserve"> lb-PM10/day</w:t>
            </w:r>
          </w:p>
        </w:tc>
      </w:tr>
      <w:tr w:rsidR="0019180C">
        <w:tc>
          <w:tcPr>
            <w:tcW w:w="3060" w:type="dxa"/>
          </w:tcPr>
          <w:p w:rsidR="0019180C" w:rsidRDefault="0019180C">
            <w:pPr>
              <w:suppressAutoHyphens/>
              <w:jc w:val="right"/>
              <w:rPr>
                <w:spacing w:val="-3"/>
              </w:rPr>
            </w:pPr>
          </w:p>
        </w:tc>
        <w:tc>
          <w:tcPr>
            <w:tcW w:w="6390" w:type="dxa"/>
          </w:tcPr>
          <w:p w:rsidR="0019180C" w:rsidRDefault="0019180C">
            <w:pPr>
              <w:pStyle w:val="FootnoteText"/>
              <w:suppressAutoHyphens/>
              <w:rPr>
                <w:rFonts w:ascii="Arial" w:hAnsi="Arial"/>
                <w:color w:val="0000FF"/>
                <w:spacing w:val="-3"/>
              </w:rPr>
            </w:pPr>
          </w:p>
        </w:tc>
      </w:tr>
      <w:tr w:rsidR="0019180C">
        <w:tc>
          <w:tcPr>
            <w:tcW w:w="3060" w:type="dxa"/>
          </w:tcPr>
          <w:p w:rsidR="0019180C" w:rsidRDefault="0019180C">
            <w:pPr>
              <w:suppressAutoHyphens/>
              <w:jc w:val="right"/>
              <w:rPr>
                <w:spacing w:val="-3"/>
              </w:rPr>
            </w:pPr>
            <w:r>
              <w:rPr>
                <w:spacing w:val="-3"/>
              </w:rPr>
              <w:t>PE</w:t>
            </w:r>
            <w:r>
              <w:rPr>
                <w:color w:val="0000FF"/>
                <w:spacing w:val="-3"/>
                <w:vertAlign w:val="subscript"/>
              </w:rPr>
              <w:t>CO</w:t>
            </w:r>
            <w:r>
              <w:rPr>
                <w:color w:val="FF0000"/>
                <w:spacing w:val="-3"/>
              </w:rPr>
              <w:t xml:space="preserve"> </w:t>
            </w:r>
            <w:r>
              <w:rPr>
                <w:spacing w:val="-3"/>
              </w:rPr>
              <w:t>(lb/day) =</w:t>
            </w:r>
          </w:p>
        </w:tc>
        <w:tc>
          <w:tcPr>
            <w:tcW w:w="6390" w:type="dxa"/>
          </w:tcPr>
          <w:p w:rsidR="0019180C" w:rsidRDefault="0019180C">
            <w:pPr>
              <w:pStyle w:val="FootnoteText"/>
              <w:suppressAutoHyphens/>
              <w:rPr>
                <w:rFonts w:ascii="Arial" w:hAnsi="Arial"/>
                <w:spacing w:val="-3"/>
              </w:rPr>
            </w:pPr>
            <w:r>
              <w:rPr>
                <w:rFonts w:ascii="Arial" w:hAnsi="Arial"/>
                <w:color w:val="0000FF"/>
                <w:spacing w:val="-3"/>
              </w:rPr>
              <w:t>[  ]</w:t>
            </w:r>
            <w:r>
              <w:rPr>
                <w:rFonts w:ascii="Arial" w:hAnsi="Arial"/>
                <w:spacing w:val="-3"/>
              </w:rPr>
              <w:t xml:space="preserve"> MMBtu/hr x </w:t>
            </w:r>
            <w:r>
              <w:rPr>
                <w:rFonts w:ascii="Arial" w:hAnsi="Arial"/>
                <w:color w:val="0000FF"/>
                <w:spacing w:val="-3"/>
              </w:rPr>
              <w:t xml:space="preserve">[  ] lb-CO/MMBtu </w:t>
            </w:r>
            <w:r>
              <w:rPr>
                <w:rFonts w:ascii="Arial" w:hAnsi="Arial"/>
                <w:spacing w:val="-3"/>
              </w:rPr>
              <w:t>x 24 hr/day</w:t>
            </w:r>
          </w:p>
        </w:tc>
      </w:tr>
      <w:tr w:rsidR="0019180C">
        <w:tc>
          <w:tcPr>
            <w:tcW w:w="3060" w:type="dxa"/>
          </w:tcPr>
          <w:p w:rsidR="0019180C" w:rsidRDefault="0019180C">
            <w:pPr>
              <w:suppressAutoHyphens/>
              <w:jc w:val="right"/>
              <w:rPr>
                <w:spacing w:val="-3"/>
              </w:rPr>
            </w:pPr>
            <w:r>
              <w:rPr>
                <w:spacing w:val="-3"/>
              </w:rPr>
              <w:t>=</w:t>
            </w:r>
          </w:p>
        </w:tc>
        <w:tc>
          <w:tcPr>
            <w:tcW w:w="6390" w:type="dxa"/>
          </w:tcPr>
          <w:p w:rsidR="0019180C" w:rsidRDefault="0019180C">
            <w:pPr>
              <w:pStyle w:val="FootnoteText"/>
              <w:suppressAutoHyphens/>
              <w:rPr>
                <w:rFonts w:ascii="Arial" w:hAnsi="Arial"/>
                <w:spacing w:val="-3"/>
              </w:rPr>
            </w:pPr>
            <w:r>
              <w:rPr>
                <w:rFonts w:ascii="Arial" w:hAnsi="Arial"/>
                <w:color w:val="0000FF"/>
                <w:spacing w:val="-3"/>
              </w:rPr>
              <w:t>[  ]</w:t>
            </w:r>
            <w:r>
              <w:rPr>
                <w:rFonts w:ascii="Arial" w:hAnsi="Arial"/>
                <w:spacing w:val="-3"/>
              </w:rPr>
              <w:t xml:space="preserve"> lb-CO/day</w:t>
            </w:r>
          </w:p>
        </w:tc>
      </w:tr>
      <w:tr w:rsidR="0019180C">
        <w:tc>
          <w:tcPr>
            <w:tcW w:w="3060" w:type="dxa"/>
          </w:tcPr>
          <w:p w:rsidR="0019180C" w:rsidRDefault="0019180C">
            <w:pPr>
              <w:suppressAutoHyphens/>
              <w:jc w:val="right"/>
              <w:rPr>
                <w:spacing w:val="-3"/>
              </w:rPr>
            </w:pPr>
          </w:p>
        </w:tc>
        <w:tc>
          <w:tcPr>
            <w:tcW w:w="6390" w:type="dxa"/>
          </w:tcPr>
          <w:p w:rsidR="0019180C" w:rsidRDefault="0019180C">
            <w:pPr>
              <w:pStyle w:val="FootnoteText"/>
              <w:suppressAutoHyphens/>
              <w:rPr>
                <w:rFonts w:ascii="Arial" w:hAnsi="Arial"/>
                <w:color w:val="0000FF"/>
                <w:spacing w:val="-3"/>
              </w:rPr>
            </w:pPr>
          </w:p>
        </w:tc>
      </w:tr>
      <w:tr w:rsidR="0019180C">
        <w:tc>
          <w:tcPr>
            <w:tcW w:w="3060" w:type="dxa"/>
          </w:tcPr>
          <w:p w:rsidR="0019180C" w:rsidRDefault="0019180C">
            <w:pPr>
              <w:suppressAutoHyphens/>
              <w:jc w:val="right"/>
              <w:rPr>
                <w:spacing w:val="-3"/>
              </w:rPr>
            </w:pPr>
            <w:r>
              <w:rPr>
                <w:spacing w:val="-3"/>
              </w:rPr>
              <w:t>PE</w:t>
            </w:r>
            <w:r>
              <w:rPr>
                <w:color w:val="0000FF"/>
                <w:spacing w:val="-3"/>
                <w:vertAlign w:val="subscript"/>
              </w:rPr>
              <w:t>VOC</w:t>
            </w:r>
            <w:r>
              <w:rPr>
                <w:color w:val="FF0000"/>
                <w:spacing w:val="-3"/>
              </w:rPr>
              <w:t xml:space="preserve"> </w:t>
            </w:r>
            <w:r>
              <w:rPr>
                <w:spacing w:val="-3"/>
              </w:rPr>
              <w:t>(lb/day) =</w:t>
            </w:r>
          </w:p>
        </w:tc>
        <w:tc>
          <w:tcPr>
            <w:tcW w:w="6390" w:type="dxa"/>
          </w:tcPr>
          <w:p w:rsidR="0019180C" w:rsidRDefault="0019180C">
            <w:pPr>
              <w:pStyle w:val="FootnoteText"/>
              <w:suppressAutoHyphens/>
              <w:rPr>
                <w:rFonts w:ascii="Arial" w:hAnsi="Arial"/>
                <w:spacing w:val="-3"/>
              </w:rPr>
            </w:pPr>
            <w:r>
              <w:rPr>
                <w:rFonts w:ascii="Arial" w:hAnsi="Arial"/>
                <w:color w:val="0000FF"/>
                <w:spacing w:val="-3"/>
              </w:rPr>
              <w:t>[  ]</w:t>
            </w:r>
            <w:r>
              <w:rPr>
                <w:rFonts w:ascii="Arial" w:hAnsi="Arial"/>
                <w:spacing w:val="-3"/>
              </w:rPr>
              <w:t xml:space="preserve"> MMBtu/hr x 0.0055 lb-VOC/MMBtu</w:t>
            </w:r>
            <w:r>
              <w:rPr>
                <w:rFonts w:ascii="Arial" w:hAnsi="Arial"/>
                <w:color w:val="0000FF"/>
                <w:spacing w:val="-3"/>
              </w:rPr>
              <w:t xml:space="preserve"> </w:t>
            </w:r>
            <w:r>
              <w:rPr>
                <w:rFonts w:ascii="Arial" w:hAnsi="Arial"/>
                <w:spacing w:val="-3"/>
              </w:rPr>
              <w:t>x 24 hr/day</w:t>
            </w:r>
          </w:p>
        </w:tc>
      </w:tr>
      <w:tr w:rsidR="0019180C">
        <w:tc>
          <w:tcPr>
            <w:tcW w:w="3060" w:type="dxa"/>
          </w:tcPr>
          <w:p w:rsidR="0019180C" w:rsidRDefault="0019180C">
            <w:pPr>
              <w:suppressAutoHyphens/>
              <w:jc w:val="right"/>
              <w:rPr>
                <w:spacing w:val="-3"/>
              </w:rPr>
            </w:pPr>
            <w:r>
              <w:rPr>
                <w:spacing w:val="-3"/>
              </w:rPr>
              <w:t>=</w:t>
            </w:r>
          </w:p>
        </w:tc>
        <w:tc>
          <w:tcPr>
            <w:tcW w:w="6390" w:type="dxa"/>
          </w:tcPr>
          <w:p w:rsidR="0019180C" w:rsidRDefault="0019180C">
            <w:pPr>
              <w:pStyle w:val="FootnoteText"/>
              <w:suppressAutoHyphens/>
              <w:rPr>
                <w:rFonts w:ascii="Arial" w:hAnsi="Arial"/>
                <w:spacing w:val="-3"/>
              </w:rPr>
            </w:pPr>
            <w:r>
              <w:rPr>
                <w:rFonts w:ascii="Arial" w:hAnsi="Arial"/>
                <w:color w:val="0000FF"/>
                <w:spacing w:val="-3"/>
              </w:rPr>
              <w:t>[  ]</w:t>
            </w:r>
            <w:r>
              <w:rPr>
                <w:rFonts w:ascii="Arial" w:hAnsi="Arial"/>
                <w:spacing w:val="-3"/>
              </w:rPr>
              <w:t xml:space="preserve"> lb-VOC/day</w:t>
            </w:r>
          </w:p>
        </w:tc>
      </w:tr>
    </w:tbl>
    <w:p w:rsidR="0019180C" w:rsidRDefault="0019180C">
      <w:pPr>
        <w:suppressAutoHyphens/>
        <w:ind w:left="3870" w:hanging="2430"/>
        <w:jc w:val="both"/>
        <w:rPr>
          <w:spacing w:val="-3"/>
        </w:rPr>
      </w:pPr>
    </w:p>
    <w:p w:rsidR="0019180C" w:rsidRDefault="0019180C">
      <w:pPr>
        <w:suppressAutoHyphens/>
        <w:jc w:val="both"/>
        <w:rPr>
          <w:spacing w:val="-3"/>
        </w:rPr>
      </w:pPr>
    </w:p>
    <w:tbl>
      <w:tblPr>
        <w:tblW w:w="0" w:type="auto"/>
        <w:tblInd w:w="842" w:type="dxa"/>
        <w:tblLayout w:type="fixed"/>
        <w:tblCellMar>
          <w:left w:w="122" w:type="dxa"/>
          <w:right w:w="122" w:type="dxa"/>
        </w:tblCellMar>
        <w:tblLook w:val="0000" w:firstRow="0" w:lastRow="0" w:firstColumn="0" w:lastColumn="0" w:noHBand="0" w:noVBand="0"/>
      </w:tblPr>
      <w:tblGrid>
        <w:gridCol w:w="3150"/>
        <w:gridCol w:w="3870"/>
      </w:tblGrid>
      <w:tr w:rsidR="0019180C" w:rsidTr="00B031E6">
        <w:trPr>
          <w:cantSplit/>
        </w:trPr>
        <w:tc>
          <w:tcPr>
            <w:tcW w:w="7020" w:type="dxa"/>
            <w:gridSpan w:val="2"/>
            <w:tcBorders>
              <w:top w:val="double" w:sz="6" w:space="0" w:color="auto"/>
              <w:left w:val="double" w:sz="6" w:space="0" w:color="auto"/>
              <w:right w:val="double" w:sz="6" w:space="0" w:color="auto"/>
            </w:tcBorders>
            <w:shd w:val="clear" w:color="auto" w:fill="auto"/>
          </w:tcPr>
          <w:p w:rsidR="0019180C" w:rsidRDefault="0019180C">
            <w:pPr>
              <w:keepNext/>
              <w:suppressAutoHyphens/>
              <w:jc w:val="center"/>
              <w:rPr>
                <w:b/>
                <w:bCs/>
                <w:spacing w:val="-3"/>
              </w:rPr>
            </w:pPr>
            <w:r>
              <w:rPr>
                <w:b/>
                <w:bCs/>
                <w:spacing w:val="-3"/>
              </w:rPr>
              <w:t xml:space="preserve">Emissions Solely from Combustion </w:t>
            </w:r>
          </w:p>
        </w:tc>
      </w:tr>
      <w:tr w:rsidR="0019180C" w:rsidTr="00B031E6">
        <w:trPr>
          <w:cantSplit/>
          <w:trHeight w:val="113"/>
        </w:trPr>
        <w:tc>
          <w:tcPr>
            <w:tcW w:w="3150" w:type="dxa"/>
            <w:tcBorders>
              <w:top w:val="double" w:sz="6" w:space="0" w:color="auto"/>
              <w:left w:val="double" w:sz="6" w:space="0" w:color="auto"/>
              <w:bottom w:val="double" w:sz="6" w:space="0" w:color="auto"/>
            </w:tcBorders>
            <w:shd w:val="clear" w:color="auto" w:fill="auto"/>
            <w:vAlign w:val="center"/>
          </w:tcPr>
          <w:p w:rsidR="0019180C" w:rsidRDefault="0019180C">
            <w:pPr>
              <w:keepNext/>
              <w:suppressAutoHyphens/>
              <w:jc w:val="center"/>
              <w:rPr>
                <w:b/>
                <w:bCs/>
                <w:spacing w:val="-3"/>
              </w:rPr>
            </w:pPr>
            <w:r>
              <w:rPr>
                <w:b/>
                <w:bCs/>
                <w:spacing w:val="-3"/>
              </w:rPr>
              <w:t>Pollutant</w:t>
            </w:r>
          </w:p>
        </w:tc>
        <w:tc>
          <w:tcPr>
            <w:tcW w:w="3870" w:type="dxa"/>
            <w:tcBorders>
              <w:top w:val="double" w:sz="6" w:space="0" w:color="auto"/>
              <w:left w:val="single" w:sz="6" w:space="0" w:color="auto"/>
              <w:bottom w:val="double" w:sz="6" w:space="0" w:color="auto"/>
              <w:right w:val="double" w:sz="6" w:space="0" w:color="auto"/>
            </w:tcBorders>
            <w:shd w:val="clear" w:color="auto" w:fill="auto"/>
          </w:tcPr>
          <w:p w:rsidR="0019180C" w:rsidRDefault="0019180C">
            <w:pPr>
              <w:keepNext/>
              <w:suppressAutoHyphens/>
              <w:jc w:val="center"/>
              <w:rPr>
                <w:b/>
                <w:bCs/>
                <w:spacing w:val="-3"/>
              </w:rPr>
            </w:pPr>
            <w:r>
              <w:rPr>
                <w:b/>
                <w:bCs/>
                <w:spacing w:val="-3"/>
              </w:rPr>
              <w:t>PE</w:t>
            </w:r>
            <w:r>
              <w:rPr>
                <w:b/>
                <w:bCs/>
                <w:spacing w:val="-3"/>
                <w:vertAlign w:val="subscript"/>
              </w:rPr>
              <w:t>(</w:t>
            </w:r>
            <w:r>
              <w:rPr>
                <w:b/>
                <w:bCs/>
                <w:color w:val="0000FF"/>
                <w:spacing w:val="-3"/>
                <w:vertAlign w:val="subscript"/>
              </w:rPr>
              <w:t>Natural Gas or LPG</w:t>
            </w:r>
            <w:r>
              <w:rPr>
                <w:b/>
                <w:bCs/>
                <w:spacing w:val="-3"/>
                <w:vertAlign w:val="subscript"/>
              </w:rPr>
              <w:t>)</w:t>
            </w:r>
            <w:r>
              <w:rPr>
                <w:b/>
                <w:bCs/>
                <w:spacing w:val="-3"/>
              </w:rPr>
              <w:t xml:space="preserve"> only (lb/day)</w:t>
            </w:r>
          </w:p>
        </w:tc>
      </w:tr>
      <w:tr w:rsidR="0019180C" w:rsidTr="00B031E6">
        <w:trPr>
          <w:cantSplit/>
        </w:trPr>
        <w:tc>
          <w:tcPr>
            <w:tcW w:w="3150" w:type="dxa"/>
            <w:tcBorders>
              <w:top w:val="double" w:sz="6" w:space="0" w:color="auto"/>
              <w:left w:val="double" w:sz="6" w:space="0" w:color="auto"/>
              <w:bottom w:val="single" w:sz="4" w:space="0" w:color="auto"/>
            </w:tcBorders>
            <w:shd w:val="clear" w:color="auto" w:fill="auto"/>
          </w:tcPr>
          <w:p w:rsidR="0019180C" w:rsidRDefault="0019180C">
            <w:pPr>
              <w:keepNext/>
              <w:suppressAutoHyphens/>
              <w:jc w:val="center"/>
              <w:rPr>
                <w:spacing w:val="-3"/>
              </w:rPr>
            </w:pPr>
            <w:r>
              <w:rPr>
                <w:noProof/>
                <w:spacing w:val="-3"/>
              </w:rPr>
              <w:t>NO</w:t>
            </w:r>
            <w:r>
              <w:rPr>
                <w:noProof/>
                <w:spacing w:val="-3"/>
                <w:vertAlign w:val="subscript"/>
              </w:rPr>
              <w:t>x</w:t>
            </w:r>
          </w:p>
        </w:tc>
        <w:tc>
          <w:tcPr>
            <w:tcW w:w="3870" w:type="dxa"/>
            <w:tcBorders>
              <w:top w:val="double" w:sz="6" w:space="0" w:color="auto"/>
              <w:left w:val="single" w:sz="6" w:space="0" w:color="auto"/>
              <w:bottom w:val="single" w:sz="4" w:space="0" w:color="auto"/>
              <w:right w:val="double" w:sz="6" w:space="0" w:color="auto"/>
            </w:tcBorders>
            <w:shd w:val="clear" w:color="auto" w:fill="auto"/>
          </w:tcPr>
          <w:p w:rsidR="0019180C" w:rsidRDefault="0019180C">
            <w:pPr>
              <w:keepNext/>
              <w:suppressAutoHyphens/>
              <w:jc w:val="center"/>
              <w:rPr>
                <w:color w:val="0000FF"/>
                <w:spacing w:val="-3"/>
              </w:rPr>
            </w:pPr>
            <w:r>
              <w:rPr>
                <w:color w:val="0000FF"/>
                <w:spacing w:val="-3"/>
              </w:rPr>
              <w:t>[  ]</w:t>
            </w:r>
          </w:p>
        </w:tc>
      </w:tr>
      <w:tr w:rsidR="0019180C" w:rsidTr="00B031E6">
        <w:trPr>
          <w:cantSplit/>
        </w:trPr>
        <w:tc>
          <w:tcPr>
            <w:tcW w:w="3150" w:type="dxa"/>
            <w:tcBorders>
              <w:top w:val="single" w:sz="4" w:space="0" w:color="auto"/>
              <w:left w:val="double" w:sz="6" w:space="0" w:color="auto"/>
              <w:bottom w:val="single" w:sz="4" w:space="0" w:color="auto"/>
            </w:tcBorders>
            <w:shd w:val="clear" w:color="auto" w:fill="auto"/>
          </w:tcPr>
          <w:p w:rsidR="0019180C" w:rsidRDefault="0019180C">
            <w:pPr>
              <w:keepNext/>
              <w:suppressAutoHyphens/>
              <w:jc w:val="center"/>
              <w:rPr>
                <w:spacing w:val="-3"/>
              </w:rPr>
            </w:pPr>
            <w:r>
              <w:rPr>
                <w:noProof/>
                <w:spacing w:val="-3"/>
              </w:rPr>
              <w:t>SO</w:t>
            </w:r>
            <w:r>
              <w:rPr>
                <w:noProof/>
                <w:spacing w:val="-3"/>
                <w:vertAlign w:val="subscript"/>
              </w:rPr>
              <w:t>x</w:t>
            </w:r>
          </w:p>
        </w:tc>
        <w:tc>
          <w:tcPr>
            <w:tcW w:w="3870" w:type="dxa"/>
            <w:tcBorders>
              <w:top w:val="single" w:sz="4" w:space="0" w:color="auto"/>
              <w:left w:val="single" w:sz="6" w:space="0" w:color="auto"/>
              <w:bottom w:val="single" w:sz="4" w:space="0" w:color="auto"/>
              <w:right w:val="double" w:sz="6" w:space="0" w:color="auto"/>
            </w:tcBorders>
            <w:shd w:val="clear" w:color="auto" w:fill="auto"/>
          </w:tcPr>
          <w:p w:rsidR="0019180C" w:rsidRDefault="0019180C">
            <w:pPr>
              <w:keepNext/>
              <w:suppressAutoHyphens/>
              <w:jc w:val="center"/>
              <w:rPr>
                <w:color w:val="0000FF"/>
                <w:spacing w:val="-3"/>
              </w:rPr>
            </w:pPr>
            <w:r>
              <w:rPr>
                <w:color w:val="0000FF"/>
                <w:spacing w:val="-3"/>
              </w:rPr>
              <w:t>[  ]</w:t>
            </w:r>
          </w:p>
        </w:tc>
      </w:tr>
      <w:tr w:rsidR="0019180C" w:rsidTr="00B031E6">
        <w:trPr>
          <w:cantSplit/>
        </w:trPr>
        <w:tc>
          <w:tcPr>
            <w:tcW w:w="3150" w:type="dxa"/>
            <w:tcBorders>
              <w:top w:val="single" w:sz="4" w:space="0" w:color="auto"/>
              <w:left w:val="double" w:sz="6" w:space="0" w:color="auto"/>
              <w:bottom w:val="single" w:sz="4" w:space="0" w:color="auto"/>
            </w:tcBorders>
            <w:shd w:val="clear" w:color="auto" w:fill="auto"/>
          </w:tcPr>
          <w:p w:rsidR="0019180C" w:rsidRDefault="0019180C">
            <w:pPr>
              <w:keepNext/>
              <w:suppressAutoHyphens/>
              <w:jc w:val="center"/>
              <w:rPr>
                <w:spacing w:val="-3"/>
              </w:rPr>
            </w:pPr>
            <w:r>
              <w:rPr>
                <w:spacing w:val="-3"/>
              </w:rPr>
              <w:t>PM</w:t>
            </w:r>
            <w:r>
              <w:rPr>
                <w:spacing w:val="-3"/>
                <w:vertAlign w:val="subscript"/>
              </w:rPr>
              <w:t>10</w:t>
            </w:r>
          </w:p>
        </w:tc>
        <w:tc>
          <w:tcPr>
            <w:tcW w:w="3870" w:type="dxa"/>
            <w:tcBorders>
              <w:top w:val="single" w:sz="4" w:space="0" w:color="auto"/>
              <w:left w:val="single" w:sz="6" w:space="0" w:color="auto"/>
              <w:bottom w:val="single" w:sz="4" w:space="0" w:color="auto"/>
              <w:right w:val="double" w:sz="6" w:space="0" w:color="auto"/>
            </w:tcBorders>
            <w:shd w:val="clear" w:color="auto" w:fill="auto"/>
          </w:tcPr>
          <w:p w:rsidR="0019180C" w:rsidRDefault="0019180C">
            <w:pPr>
              <w:keepNext/>
              <w:suppressAutoHyphens/>
              <w:jc w:val="center"/>
              <w:rPr>
                <w:color w:val="0000FF"/>
                <w:spacing w:val="-3"/>
              </w:rPr>
            </w:pPr>
            <w:r>
              <w:rPr>
                <w:color w:val="0000FF"/>
                <w:spacing w:val="-3"/>
              </w:rPr>
              <w:t>[  ]</w:t>
            </w:r>
          </w:p>
        </w:tc>
      </w:tr>
      <w:tr w:rsidR="0019180C" w:rsidTr="00B031E6">
        <w:trPr>
          <w:cantSplit/>
        </w:trPr>
        <w:tc>
          <w:tcPr>
            <w:tcW w:w="3150" w:type="dxa"/>
            <w:tcBorders>
              <w:top w:val="single" w:sz="4" w:space="0" w:color="auto"/>
              <w:left w:val="double" w:sz="6" w:space="0" w:color="auto"/>
              <w:bottom w:val="single" w:sz="4" w:space="0" w:color="auto"/>
            </w:tcBorders>
            <w:shd w:val="clear" w:color="auto" w:fill="auto"/>
          </w:tcPr>
          <w:p w:rsidR="0019180C" w:rsidRDefault="0019180C">
            <w:pPr>
              <w:keepNext/>
              <w:suppressAutoHyphens/>
              <w:jc w:val="center"/>
              <w:rPr>
                <w:spacing w:val="-3"/>
              </w:rPr>
            </w:pPr>
            <w:r>
              <w:rPr>
                <w:spacing w:val="-3"/>
              </w:rPr>
              <w:t>CO</w:t>
            </w:r>
          </w:p>
        </w:tc>
        <w:tc>
          <w:tcPr>
            <w:tcW w:w="3870" w:type="dxa"/>
            <w:tcBorders>
              <w:top w:val="single" w:sz="4" w:space="0" w:color="auto"/>
              <w:left w:val="single" w:sz="6" w:space="0" w:color="auto"/>
              <w:bottom w:val="single" w:sz="4" w:space="0" w:color="auto"/>
              <w:right w:val="double" w:sz="6" w:space="0" w:color="auto"/>
            </w:tcBorders>
            <w:shd w:val="clear" w:color="auto" w:fill="auto"/>
          </w:tcPr>
          <w:p w:rsidR="0019180C" w:rsidRDefault="0019180C">
            <w:pPr>
              <w:keepNext/>
              <w:suppressAutoHyphens/>
              <w:jc w:val="center"/>
              <w:rPr>
                <w:color w:val="0000FF"/>
                <w:spacing w:val="-3"/>
              </w:rPr>
            </w:pPr>
            <w:r>
              <w:rPr>
                <w:color w:val="0000FF"/>
                <w:spacing w:val="-3"/>
              </w:rPr>
              <w:t>[  ]</w:t>
            </w:r>
          </w:p>
        </w:tc>
      </w:tr>
      <w:tr w:rsidR="0019180C" w:rsidTr="00B031E6">
        <w:trPr>
          <w:cantSplit/>
        </w:trPr>
        <w:tc>
          <w:tcPr>
            <w:tcW w:w="3150" w:type="dxa"/>
            <w:tcBorders>
              <w:top w:val="single" w:sz="4" w:space="0" w:color="auto"/>
              <w:left w:val="double" w:sz="6" w:space="0" w:color="auto"/>
              <w:bottom w:val="double" w:sz="6" w:space="0" w:color="auto"/>
            </w:tcBorders>
            <w:shd w:val="clear" w:color="auto" w:fill="auto"/>
          </w:tcPr>
          <w:p w:rsidR="0019180C" w:rsidRDefault="0019180C">
            <w:pPr>
              <w:keepNext/>
              <w:suppressAutoHyphens/>
              <w:jc w:val="center"/>
              <w:rPr>
                <w:spacing w:val="-3"/>
              </w:rPr>
            </w:pPr>
            <w:r>
              <w:rPr>
                <w:spacing w:val="-3"/>
              </w:rPr>
              <w:t>VOC</w:t>
            </w:r>
            <w:r>
              <w:rPr>
                <w:spacing w:val="-3"/>
                <w:vertAlign w:val="subscript"/>
              </w:rPr>
              <w:t>(non-methane)</w:t>
            </w:r>
          </w:p>
        </w:tc>
        <w:tc>
          <w:tcPr>
            <w:tcW w:w="3870" w:type="dxa"/>
            <w:tcBorders>
              <w:top w:val="single" w:sz="4" w:space="0" w:color="auto"/>
              <w:left w:val="single" w:sz="6" w:space="0" w:color="auto"/>
              <w:bottom w:val="double" w:sz="6" w:space="0" w:color="auto"/>
              <w:right w:val="double" w:sz="6" w:space="0" w:color="auto"/>
            </w:tcBorders>
            <w:shd w:val="clear" w:color="auto" w:fill="auto"/>
          </w:tcPr>
          <w:p w:rsidR="0019180C" w:rsidRDefault="0019180C">
            <w:pPr>
              <w:keepNext/>
              <w:suppressAutoHyphens/>
              <w:jc w:val="center"/>
              <w:rPr>
                <w:color w:val="0000FF"/>
                <w:spacing w:val="-3"/>
              </w:rPr>
            </w:pPr>
            <w:r>
              <w:rPr>
                <w:color w:val="0000FF"/>
                <w:spacing w:val="-3"/>
              </w:rPr>
              <w:t>[  ]</w:t>
            </w:r>
          </w:p>
        </w:tc>
      </w:tr>
    </w:tbl>
    <w:p w:rsidR="0019180C" w:rsidRDefault="0019180C">
      <w:pPr>
        <w:suppressAutoHyphens/>
        <w:ind w:left="1440"/>
        <w:jc w:val="both"/>
        <w:rPr>
          <w:spacing w:val="-3"/>
        </w:rPr>
      </w:pPr>
    </w:p>
    <w:p w:rsidR="0019180C" w:rsidRDefault="0019180C">
      <w:pPr>
        <w:suppressAutoHyphens/>
        <w:ind w:left="720"/>
        <w:jc w:val="both"/>
        <w:rPr>
          <w:spacing w:val="-3"/>
          <w:u w:val="single"/>
        </w:rPr>
      </w:pPr>
      <w:r>
        <w:rPr>
          <w:u w:val="single"/>
        </w:rPr>
        <w:t>Total Emissions from Soil Remediation System:</w:t>
      </w:r>
    </w:p>
    <w:p w:rsidR="0019180C" w:rsidRDefault="0019180C">
      <w:pPr>
        <w:suppressAutoHyphens/>
        <w:jc w:val="both"/>
        <w:rPr>
          <w:spacing w:val="-3"/>
        </w:rPr>
      </w:pPr>
    </w:p>
    <w:p w:rsidR="0019180C" w:rsidRDefault="0019180C">
      <w:pPr>
        <w:suppressAutoHyphens/>
        <w:jc w:val="both"/>
        <w:rPr>
          <w:spacing w:val="-3"/>
        </w:rPr>
      </w:pPr>
      <w:r>
        <w:rPr>
          <w:spacing w:val="-3"/>
        </w:rPr>
        <w:tab/>
        <w:t>PE</w:t>
      </w:r>
      <w:r>
        <w:rPr>
          <w:spacing w:val="-3"/>
          <w:vertAlign w:val="subscript"/>
        </w:rPr>
        <w:t>Total</w:t>
      </w:r>
      <w:r>
        <w:rPr>
          <w:spacing w:val="-3"/>
          <w:vertAlign w:val="subscript"/>
        </w:rPr>
        <w:tab/>
      </w:r>
      <w:r>
        <w:rPr>
          <w:spacing w:val="-3"/>
        </w:rPr>
        <w:tab/>
        <w:t>=</w:t>
      </w:r>
      <w:r>
        <w:rPr>
          <w:spacing w:val="-3"/>
        </w:rPr>
        <w:tab/>
        <w:t>PE</w:t>
      </w:r>
      <w:r>
        <w:rPr>
          <w:spacing w:val="-3"/>
          <w:vertAlign w:val="subscript"/>
        </w:rPr>
        <w:t>Thermal or Catalytic/Controlled</w:t>
      </w:r>
      <w:r>
        <w:rPr>
          <w:spacing w:val="-3"/>
        </w:rPr>
        <w:t xml:space="preserve"> + PE</w:t>
      </w:r>
      <w:r>
        <w:rPr>
          <w:spacing w:val="-3"/>
          <w:vertAlign w:val="subscript"/>
        </w:rPr>
        <w:t>Natural Gas or LPG</w:t>
      </w:r>
    </w:p>
    <w:p w:rsidR="0019180C" w:rsidRDefault="0019180C">
      <w:pPr>
        <w:suppressAutoHyphens/>
        <w:ind w:left="720"/>
        <w:jc w:val="both"/>
        <w:rPr>
          <w:spacing w:val="-3"/>
        </w:rPr>
      </w:pPr>
    </w:p>
    <w:tbl>
      <w:tblPr>
        <w:tblW w:w="0" w:type="auto"/>
        <w:jc w:val="center"/>
        <w:tblLayout w:type="fixed"/>
        <w:tblCellMar>
          <w:left w:w="122" w:type="dxa"/>
          <w:right w:w="122" w:type="dxa"/>
        </w:tblCellMar>
        <w:tblLook w:val="0000" w:firstRow="0" w:lastRow="0" w:firstColumn="0" w:lastColumn="0" w:noHBand="0" w:noVBand="0"/>
      </w:tblPr>
      <w:tblGrid>
        <w:gridCol w:w="1260"/>
        <w:gridCol w:w="1980"/>
        <w:gridCol w:w="1536"/>
        <w:gridCol w:w="1524"/>
        <w:gridCol w:w="1440"/>
        <w:gridCol w:w="1440"/>
      </w:tblGrid>
      <w:tr w:rsidR="0019180C" w:rsidTr="00B031E6">
        <w:trPr>
          <w:cantSplit/>
          <w:trHeight w:val="500"/>
          <w:jc w:val="center"/>
        </w:trPr>
        <w:tc>
          <w:tcPr>
            <w:tcW w:w="9180" w:type="dxa"/>
            <w:gridSpan w:val="6"/>
            <w:tcBorders>
              <w:top w:val="double" w:sz="6" w:space="0" w:color="auto"/>
              <w:left w:val="double" w:sz="6" w:space="0" w:color="auto"/>
              <w:right w:val="double" w:sz="6" w:space="0" w:color="auto"/>
            </w:tcBorders>
            <w:shd w:val="clear" w:color="auto" w:fill="auto"/>
            <w:vAlign w:val="center"/>
          </w:tcPr>
          <w:p w:rsidR="0019180C" w:rsidRDefault="0019180C">
            <w:pPr>
              <w:suppressAutoHyphens/>
              <w:spacing w:before="40" w:after="40"/>
              <w:jc w:val="center"/>
              <w:rPr>
                <w:b/>
                <w:bCs/>
                <w:spacing w:val="-3"/>
              </w:rPr>
            </w:pPr>
            <w:r>
              <w:rPr>
                <w:b/>
                <w:bCs/>
                <w:spacing w:val="-3"/>
              </w:rPr>
              <w:t>Total Post-Project Potential to Emit (PE2)</w:t>
            </w:r>
          </w:p>
        </w:tc>
      </w:tr>
      <w:tr w:rsidR="0019180C" w:rsidTr="00B031E6">
        <w:trPr>
          <w:jc w:val="center"/>
        </w:trPr>
        <w:tc>
          <w:tcPr>
            <w:tcW w:w="1260" w:type="dxa"/>
            <w:tcBorders>
              <w:top w:val="double" w:sz="6" w:space="0" w:color="auto"/>
              <w:left w:val="double" w:sz="6" w:space="0" w:color="auto"/>
            </w:tcBorders>
            <w:shd w:val="clear" w:color="auto" w:fill="auto"/>
            <w:vAlign w:val="center"/>
          </w:tcPr>
          <w:p w:rsidR="0019180C" w:rsidRDefault="0019180C">
            <w:pPr>
              <w:suppressAutoHyphens/>
              <w:jc w:val="center"/>
              <w:rPr>
                <w:b/>
                <w:bCs/>
                <w:spacing w:val="-3"/>
              </w:rPr>
            </w:pPr>
            <w:r>
              <w:rPr>
                <w:b/>
                <w:bCs/>
                <w:spacing w:val="-3"/>
              </w:rPr>
              <w:t>Pollutant</w:t>
            </w:r>
          </w:p>
        </w:tc>
        <w:tc>
          <w:tcPr>
            <w:tcW w:w="1980" w:type="dxa"/>
            <w:tcBorders>
              <w:top w:val="double" w:sz="6" w:space="0" w:color="auto"/>
              <w:left w:val="single" w:sz="6" w:space="0" w:color="auto"/>
            </w:tcBorders>
            <w:shd w:val="clear" w:color="auto" w:fill="auto"/>
            <w:vAlign w:val="center"/>
          </w:tcPr>
          <w:p w:rsidR="0019180C" w:rsidRDefault="0019180C">
            <w:pPr>
              <w:suppressAutoHyphens/>
              <w:jc w:val="center"/>
              <w:rPr>
                <w:b/>
                <w:bCs/>
                <w:spacing w:val="-3"/>
              </w:rPr>
            </w:pPr>
            <w:r>
              <w:rPr>
                <w:b/>
                <w:bCs/>
                <w:spacing w:val="-3"/>
              </w:rPr>
              <w:t>PE</w:t>
            </w:r>
            <w:r>
              <w:rPr>
                <w:b/>
                <w:bCs/>
                <w:spacing w:val="-3"/>
                <w:vertAlign w:val="subscript"/>
              </w:rPr>
              <w:t>Controlled</w:t>
            </w:r>
            <w:r w:rsidR="00A248F2">
              <w:rPr>
                <w:b/>
                <w:bCs/>
                <w:spacing w:val="-3"/>
                <w:vertAlign w:val="subscript"/>
              </w:rPr>
              <w:t xml:space="preserve"> voc</w:t>
            </w:r>
          </w:p>
          <w:p w:rsidR="0019180C" w:rsidRDefault="0019180C">
            <w:pPr>
              <w:suppressAutoHyphens/>
              <w:jc w:val="center"/>
              <w:rPr>
                <w:b/>
                <w:bCs/>
                <w:spacing w:val="-3"/>
              </w:rPr>
            </w:pPr>
            <w:r>
              <w:rPr>
                <w:b/>
                <w:bCs/>
                <w:spacing w:val="-3"/>
              </w:rPr>
              <w:t>(lb/day)</w:t>
            </w:r>
          </w:p>
        </w:tc>
        <w:tc>
          <w:tcPr>
            <w:tcW w:w="1536" w:type="dxa"/>
            <w:tcBorders>
              <w:top w:val="double" w:sz="6" w:space="0" w:color="auto"/>
              <w:left w:val="single" w:sz="6" w:space="0" w:color="auto"/>
              <w:right w:val="single" w:sz="4" w:space="0" w:color="auto"/>
            </w:tcBorders>
            <w:shd w:val="clear" w:color="auto" w:fill="auto"/>
            <w:vAlign w:val="center"/>
          </w:tcPr>
          <w:p w:rsidR="0019180C" w:rsidRDefault="0019180C">
            <w:pPr>
              <w:suppressAutoHyphens/>
              <w:jc w:val="center"/>
              <w:rPr>
                <w:b/>
                <w:bCs/>
                <w:spacing w:val="-3"/>
              </w:rPr>
            </w:pPr>
            <w:r>
              <w:rPr>
                <w:b/>
                <w:bCs/>
                <w:spacing w:val="-3"/>
              </w:rPr>
              <w:t>PE</w:t>
            </w:r>
            <w:r>
              <w:rPr>
                <w:b/>
                <w:bCs/>
                <w:color w:val="0000FF"/>
                <w:spacing w:val="-3"/>
                <w:vertAlign w:val="subscript"/>
              </w:rPr>
              <w:t>Natural</w:t>
            </w:r>
            <w:r>
              <w:rPr>
                <w:b/>
                <w:bCs/>
                <w:spacing w:val="-3"/>
                <w:vertAlign w:val="subscript"/>
              </w:rPr>
              <w:t xml:space="preserve"> </w:t>
            </w:r>
            <w:r>
              <w:rPr>
                <w:b/>
                <w:bCs/>
                <w:color w:val="0000FF"/>
                <w:spacing w:val="-3"/>
                <w:vertAlign w:val="subscript"/>
              </w:rPr>
              <w:t>Gas</w:t>
            </w:r>
            <w:r>
              <w:rPr>
                <w:b/>
                <w:bCs/>
                <w:spacing w:val="-3"/>
                <w:vertAlign w:val="subscript"/>
              </w:rPr>
              <w:t xml:space="preserve"> </w:t>
            </w:r>
            <w:r>
              <w:rPr>
                <w:b/>
                <w:bCs/>
                <w:color w:val="0000FF"/>
                <w:spacing w:val="-3"/>
                <w:vertAlign w:val="subscript"/>
              </w:rPr>
              <w:t>or LPG</w:t>
            </w:r>
          </w:p>
          <w:p w:rsidR="0019180C" w:rsidRDefault="0019180C">
            <w:pPr>
              <w:suppressAutoHyphens/>
              <w:jc w:val="center"/>
              <w:rPr>
                <w:b/>
                <w:bCs/>
                <w:spacing w:val="-3"/>
              </w:rPr>
            </w:pPr>
            <w:r>
              <w:rPr>
                <w:b/>
                <w:bCs/>
                <w:spacing w:val="-3"/>
              </w:rPr>
              <w:t>(lb/day)</w:t>
            </w:r>
          </w:p>
        </w:tc>
        <w:tc>
          <w:tcPr>
            <w:tcW w:w="1524" w:type="dxa"/>
            <w:tcBorders>
              <w:top w:val="double" w:sz="6" w:space="0" w:color="auto"/>
              <w:left w:val="single" w:sz="4" w:space="0" w:color="auto"/>
              <w:right w:val="single" w:sz="4" w:space="0" w:color="auto"/>
            </w:tcBorders>
            <w:shd w:val="clear" w:color="auto" w:fill="auto"/>
            <w:vAlign w:val="center"/>
          </w:tcPr>
          <w:p w:rsidR="0019180C" w:rsidRDefault="0019180C">
            <w:pPr>
              <w:suppressAutoHyphens/>
              <w:jc w:val="center"/>
              <w:rPr>
                <w:b/>
                <w:bCs/>
                <w:spacing w:val="-3"/>
              </w:rPr>
            </w:pPr>
            <w:r>
              <w:rPr>
                <w:b/>
                <w:bCs/>
                <w:spacing w:val="-3"/>
              </w:rPr>
              <w:t>PE</w:t>
            </w:r>
            <w:r>
              <w:rPr>
                <w:b/>
                <w:bCs/>
                <w:spacing w:val="-3"/>
                <w:vertAlign w:val="subscript"/>
              </w:rPr>
              <w:t>2Daily</w:t>
            </w:r>
          </w:p>
          <w:p w:rsidR="0019180C" w:rsidRDefault="0019180C">
            <w:pPr>
              <w:suppressAutoHyphens/>
              <w:jc w:val="center"/>
              <w:rPr>
                <w:spacing w:val="-3"/>
              </w:rPr>
            </w:pPr>
            <w:r>
              <w:rPr>
                <w:b/>
                <w:bCs/>
                <w:spacing w:val="-3"/>
              </w:rPr>
              <w:t>(lb/day)</w:t>
            </w:r>
          </w:p>
        </w:tc>
        <w:tc>
          <w:tcPr>
            <w:tcW w:w="1440" w:type="dxa"/>
            <w:tcBorders>
              <w:top w:val="double" w:sz="6" w:space="0" w:color="auto"/>
              <w:left w:val="single" w:sz="4" w:space="0" w:color="auto"/>
              <w:right w:val="single" w:sz="4" w:space="0" w:color="auto"/>
            </w:tcBorders>
            <w:shd w:val="clear" w:color="auto" w:fill="auto"/>
            <w:vAlign w:val="center"/>
          </w:tcPr>
          <w:p w:rsidR="0019180C" w:rsidRDefault="0019180C">
            <w:pPr>
              <w:suppressAutoHyphens/>
              <w:jc w:val="center"/>
              <w:rPr>
                <w:b/>
                <w:bCs/>
                <w:spacing w:val="-3"/>
              </w:rPr>
            </w:pPr>
            <w:r>
              <w:rPr>
                <w:b/>
                <w:bCs/>
                <w:spacing w:val="-3"/>
              </w:rPr>
              <w:t>PE</w:t>
            </w:r>
            <w:r>
              <w:rPr>
                <w:b/>
                <w:bCs/>
                <w:spacing w:val="-3"/>
                <w:vertAlign w:val="subscript"/>
              </w:rPr>
              <w:t>2Annual</w:t>
            </w:r>
          </w:p>
          <w:p w:rsidR="0019180C" w:rsidRDefault="0019180C">
            <w:pPr>
              <w:suppressAutoHyphens/>
              <w:jc w:val="center"/>
              <w:rPr>
                <w:b/>
                <w:bCs/>
                <w:spacing w:val="-3"/>
              </w:rPr>
            </w:pPr>
            <w:r>
              <w:rPr>
                <w:b/>
                <w:bCs/>
                <w:spacing w:val="-3"/>
              </w:rPr>
              <w:t>(lb/yr)</w:t>
            </w:r>
          </w:p>
        </w:tc>
        <w:tc>
          <w:tcPr>
            <w:tcW w:w="1440" w:type="dxa"/>
            <w:tcBorders>
              <w:top w:val="double" w:sz="6" w:space="0" w:color="auto"/>
              <w:left w:val="single" w:sz="4" w:space="0" w:color="auto"/>
              <w:right w:val="double" w:sz="6" w:space="0" w:color="auto"/>
            </w:tcBorders>
            <w:shd w:val="clear" w:color="auto" w:fill="auto"/>
            <w:vAlign w:val="center"/>
          </w:tcPr>
          <w:p w:rsidR="0019180C" w:rsidRDefault="0019180C">
            <w:pPr>
              <w:suppressAutoHyphens/>
              <w:jc w:val="center"/>
              <w:rPr>
                <w:b/>
                <w:bCs/>
                <w:spacing w:val="-3"/>
              </w:rPr>
            </w:pPr>
            <w:r>
              <w:rPr>
                <w:b/>
                <w:bCs/>
                <w:spacing w:val="-3"/>
              </w:rPr>
              <w:t>PE</w:t>
            </w:r>
            <w:r>
              <w:rPr>
                <w:b/>
                <w:bCs/>
                <w:spacing w:val="-3"/>
                <w:vertAlign w:val="subscript"/>
              </w:rPr>
              <w:t>2Quarterly</w:t>
            </w:r>
          </w:p>
          <w:p w:rsidR="0019180C" w:rsidRDefault="0019180C">
            <w:pPr>
              <w:suppressAutoHyphens/>
              <w:jc w:val="center"/>
              <w:rPr>
                <w:b/>
                <w:bCs/>
                <w:spacing w:val="-3"/>
              </w:rPr>
            </w:pPr>
            <w:r>
              <w:rPr>
                <w:b/>
                <w:bCs/>
                <w:spacing w:val="-3"/>
              </w:rPr>
              <w:t>(lb/qtr)</w:t>
            </w:r>
          </w:p>
        </w:tc>
      </w:tr>
      <w:tr w:rsidR="0019180C" w:rsidTr="00B031E6">
        <w:trPr>
          <w:jc w:val="center"/>
        </w:trPr>
        <w:tc>
          <w:tcPr>
            <w:tcW w:w="1260" w:type="dxa"/>
            <w:tcBorders>
              <w:top w:val="double" w:sz="6" w:space="0" w:color="auto"/>
              <w:left w:val="double" w:sz="6" w:space="0" w:color="auto"/>
            </w:tcBorders>
            <w:shd w:val="clear" w:color="auto" w:fill="auto"/>
          </w:tcPr>
          <w:p w:rsidR="0019180C" w:rsidRDefault="0019180C">
            <w:pPr>
              <w:suppressAutoHyphens/>
              <w:jc w:val="center"/>
              <w:rPr>
                <w:spacing w:val="-3"/>
              </w:rPr>
            </w:pPr>
            <w:r>
              <w:rPr>
                <w:noProof/>
                <w:spacing w:val="-3"/>
              </w:rPr>
              <w:t>NO</w:t>
            </w:r>
            <w:r>
              <w:rPr>
                <w:noProof/>
                <w:spacing w:val="-3"/>
                <w:vertAlign w:val="subscript"/>
              </w:rPr>
              <w:t>x</w:t>
            </w:r>
          </w:p>
        </w:tc>
        <w:tc>
          <w:tcPr>
            <w:tcW w:w="1980" w:type="dxa"/>
            <w:tcBorders>
              <w:top w:val="double" w:sz="6" w:space="0" w:color="auto"/>
              <w:left w:val="single" w:sz="6" w:space="0" w:color="auto"/>
            </w:tcBorders>
            <w:shd w:val="clear" w:color="auto" w:fill="auto"/>
          </w:tcPr>
          <w:p w:rsidR="0019180C" w:rsidRDefault="0019180C">
            <w:pPr>
              <w:suppressAutoHyphens/>
              <w:jc w:val="center"/>
              <w:rPr>
                <w:spacing w:val="-3"/>
              </w:rPr>
            </w:pPr>
            <w:r>
              <w:rPr>
                <w:spacing w:val="-3"/>
              </w:rPr>
              <w:t>---</w:t>
            </w:r>
          </w:p>
        </w:tc>
        <w:tc>
          <w:tcPr>
            <w:tcW w:w="1536" w:type="dxa"/>
            <w:tcBorders>
              <w:top w:val="double" w:sz="6" w:space="0" w:color="auto"/>
              <w:left w:val="single" w:sz="6" w:space="0" w:color="auto"/>
              <w:right w:val="single" w:sz="4" w:space="0" w:color="auto"/>
            </w:tcBorders>
            <w:shd w:val="clear" w:color="auto" w:fill="auto"/>
          </w:tcPr>
          <w:p w:rsidR="0019180C" w:rsidRDefault="0019180C">
            <w:pPr>
              <w:suppressAutoHyphens/>
              <w:jc w:val="center"/>
              <w:rPr>
                <w:color w:val="0000FF"/>
                <w:spacing w:val="-3"/>
              </w:rPr>
            </w:pPr>
            <w:r>
              <w:rPr>
                <w:color w:val="0000FF"/>
                <w:spacing w:val="-3"/>
              </w:rPr>
              <w:t>[  ]</w:t>
            </w:r>
          </w:p>
        </w:tc>
        <w:tc>
          <w:tcPr>
            <w:tcW w:w="1524" w:type="dxa"/>
            <w:tcBorders>
              <w:top w:val="double" w:sz="6" w:space="0" w:color="auto"/>
              <w:left w:val="single" w:sz="4" w:space="0" w:color="auto"/>
              <w:right w:val="single" w:sz="4" w:space="0" w:color="auto"/>
            </w:tcBorders>
            <w:shd w:val="clear" w:color="auto" w:fill="auto"/>
          </w:tcPr>
          <w:p w:rsidR="0019180C" w:rsidRDefault="0019180C">
            <w:pPr>
              <w:suppressAutoHyphens/>
              <w:jc w:val="center"/>
              <w:rPr>
                <w:color w:val="0000FF"/>
                <w:spacing w:val="-3"/>
              </w:rPr>
            </w:pPr>
            <w:r>
              <w:rPr>
                <w:color w:val="0000FF"/>
                <w:spacing w:val="-3"/>
              </w:rPr>
              <w:t>[  ]</w:t>
            </w:r>
          </w:p>
        </w:tc>
        <w:tc>
          <w:tcPr>
            <w:tcW w:w="1440" w:type="dxa"/>
            <w:tcBorders>
              <w:top w:val="double" w:sz="6" w:space="0" w:color="auto"/>
              <w:left w:val="single" w:sz="4" w:space="0" w:color="auto"/>
              <w:right w:val="single" w:sz="4" w:space="0" w:color="auto"/>
            </w:tcBorders>
            <w:shd w:val="clear" w:color="auto" w:fill="auto"/>
          </w:tcPr>
          <w:p w:rsidR="0019180C" w:rsidRDefault="0019180C">
            <w:pPr>
              <w:suppressAutoHyphens/>
              <w:jc w:val="center"/>
              <w:rPr>
                <w:color w:val="0000FF"/>
                <w:spacing w:val="-3"/>
              </w:rPr>
            </w:pPr>
            <w:r>
              <w:rPr>
                <w:color w:val="0000FF"/>
                <w:spacing w:val="-3"/>
              </w:rPr>
              <w:t>[  ]</w:t>
            </w:r>
          </w:p>
        </w:tc>
        <w:tc>
          <w:tcPr>
            <w:tcW w:w="1440" w:type="dxa"/>
            <w:tcBorders>
              <w:top w:val="double" w:sz="6" w:space="0" w:color="auto"/>
              <w:left w:val="single" w:sz="4" w:space="0" w:color="auto"/>
              <w:right w:val="double" w:sz="6" w:space="0" w:color="auto"/>
            </w:tcBorders>
            <w:shd w:val="clear" w:color="auto" w:fill="auto"/>
          </w:tcPr>
          <w:p w:rsidR="0019180C" w:rsidRDefault="0019180C">
            <w:pPr>
              <w:suppressAutoHyphens/>
              <w:jc w:val="center"/>
              <w:rPr>
                <w:color w:val="0000FF"/>
                <w:spacing w:val="-3"/>
              </w:rPr>
            </w:pPr>
            <w:r>
              <w:rPr>
                <w:color w:val="0000FF"/>
                <w:spacing w:val="-3"/>
              </w:rPr>
              <w:t>[  ]</w:t>
            </w:r>
          </w:p>
        </w:tc>
      </w:tr>
      <w:tr w:rsidR="0019180C" w:rsidTr="00B031E6">
        <w:trPr>
          <w:jc w:val="center"/>
        </w:trPr>
        <w:tc>
          <w:tcPr>
            <w:tcW w:w="1260" w:type="dxa"/>
            <w:tcBorders>
              <w:top w:val="single" w:sz="6" w:space="0" w:color="auto"/>
              <w:left w:val="double" w:sz="6" w:space="0" w:color="auto"/>
            </w:tcBorders>
            <w:shd w:val="clear" w:color="auto" w:fill="auto"/>
          </w:tcPr>
          <w:p w:rsidR="0019180C" w:rsidRDefault="0019180C">
            <w:pPr>
              <w:suppressAutoHyphens/>
              <w:jc w:val="center"/>
              <w:rPr>
                <w:spacing w:val="-3"/>
              </w:rPr>
            </w:pPr>
            <w:r>
              <w:rPr>
                <w:noProof/>
                <w:spacing w:val="-3"/>
              </w:rPr>
              <w:t>SO</w:t>
            </w:r>
            <w:r>
              <w:rPr>
                <w:noProof/>
                <w:spacing w:val="-3"/>
                <w:vertAlign w:val="subscript"/>
              </w:rPr>
              <w:t>x</w:t>
            </w:r>
          </w:p>
        </w:tc>
        <w:tc>
          <w:tcPr>
            <w:tcW w:w="1980" w:type="dxa"/>
            <w:tcBorders>
              <w:top w:val="single" w:sz="6" w:space="0" w:color="auto"/>
              <w:left w:val="single" w:sz="6" w:space="0" w:color="auto"/>
            </w:tcBorders>
            <w:shd w:val="clear" w:color="auto" w:fill="auto"/>
          </w:tcPr>
          <w:p w:rsidR="0019180C" w:rsidRDefault="0019180C">
            <w:pPr>
              <w:suppressAutoHyphens/>
              <w:jc w:val="center"/>
              <w:rPr>
                <w:spacing w:val="-3"/>
              </w:rPr>
            </w:pPr>
            <w:r>
              <w:rPr>
                <w:spacing w:val="-3"/>
              </w:rPr>
              <w:t>---</w:t>
            </w:r>
          </w:p>
        </w:tc>
        <w:tc>
          <w:tcPr>
            <w:tcW w:w="1536" w:type="dxa"/>
            <w:tcBorders>
              <w:top w:val="single" w:sz="6" w:space="0" w:color="auto"/>
              <w:left w:val="single" w:sz="6" w:space="0" w:color="auto"/>
              <w:right w:val="single" w:sz="4" w:space="0" w:color="auto"/>
            </w:tcBorders>
            <w:shd w:val="clear" w:color="auto" w:fill="auto"/>
          </w:tcPr>
          <w:p w:rsidR="0019180C" w:rsidRDefault="0019180C">
            <w:pPr>
              <w:suppressAutoHyphens/>
              <w:jc w:val="center"/>
              <w:rPr>
                <w:color w:val="0000FF"/>
                <w:spacing w:val="-3"/>
              </w:rPr>
            </w:pPr>
            <w:r>
              <w:rPr>
                <w:color w:val="0000FF"/>
                <w:spacing w:val="-3"/>
              </w:rPr>
              <w:t>[  ]</w:t>
            </w:r>
          </w:p>
        </w:tc>
        <w:tc>
          <w:tcPr>
            <w:tcW w:w="1524" w:type="dxa"/>
            <w:tcBorders>
              <w:top w:val="single" w:sz="6" w:space="0" w:color="auto"/>
              <w:left w:val="single" w:sz="4" w:space="0" w:color="auto"/>
              <w:right w:val="single" w:sz="4" w:space="0" w:color="auto"/>
            </w:tcBorders>
            <w:shd w:val="clear" w:color="auto" w:fill="auto"/>
          </w:tcPr>
          <w:p w:rsidR="0019180C" w:rsidRDefault="0019180C">
            <w:pPr>
              <w:suppressAutoHyphens/>
              <w:jc w:val="center"/>
              <w:rPr>
                <w:color w:val="0000FF"/>
                <w:spacing w:val="-3"/>
              </w:rPr>
            </w:pPr>
            <w:r>
              <w:rPr>
                <w:color w:val="0000FF"/>
                <w:spacing w:val="-3"/>
              </w:rPr>
              <w:t>[  ]</w:t>
            </w:r>
          </w:p>
        </w:tc>
        <w:tc>
          <w:tcPr>
            <w:tcW w:w="1440" w:type="dxa"/>
            <w:tcBorders>
              <w:top w:val="single" w:sz="6" w:space="0" w:color="auto"/>
              <w:left w:val="single" w:sz="4" w:space="0" w:color="auto"/>
              <w:right w:val="single" w:sz="4" w:space="0" w:color="auto"/>
            </w:tcBorders>
            <w:shd w:val="clear" w:color="auto" w:fill="auto"/>
          </w:tcPr>
          <w:p w:rsidR="0019180C" w:rsidRDefault="0019180C">
            <w:pPr>
              <w:suppressAutoHyphens/>
              <w:jc w:val="center"/>
              <w:rPr>
                <w:color w:val="0000FF"/>
                <w:spacing w:val="-3"/>
              </w:rPr>
            </w:pPr>
            <w:r>
              <w:rPr>
                <w:color w:val="0000FF"/>
                <w:spacing w:val="-3"/>
              </w:rPr>
              <w:t>[  ]</w:t>
            </w:r>
          </w:p>
        </w:tc>
        <w:tc>
          <w:tcPr>
            <w:tcW w:w="1440" w:type="dxa"/>
            <w:tcBorders>
              <w:top w:val="single" w:sz="6" w:space="0" w:color="auto"/>
              <w:left w:val="single" w:sz="4" w:space="0" w:color="auto"/>
              <w:right w:val="double" w:sz="6" w:space="0" w:color="auto"/>
            </w:tcBorders>
            <w:shd w:val="clear" w:color="auto" w:fill="auto"/>
          </w:tcPr>
          <w:p w:rsidR="0019180C" w:rsidRDefault="0019180C">
            <w:pPr>
              <w:suppressAutoHyphens/>
              <w:jc w:val="center"/>
              <w:rPr>
                <w:color w:val="0000FF"/>
                <w:spacing w:val="-3"/>
              </w:rPr>
            </w:pPr>
            <w:r>
              <w:rPr>
                <w:color w:val="0000FF"/>
                <w:spacing w:val="-3"/>
              </w:rPr>
              <w:t>[  ]</w:t>
            </w:r>
          </w:p>
        </w:tc>
      </w:tr>
      <w:tr w:rsidR="0019180C" w:rsidTr="00B031E6">
        <w:trPr>
          <w:jc w:val="center"/>
        </w:trPr>
        <w:tc>
          <w:tcPr>
            <w:tcW w:w="1260" w:type="dxa"/>
            <w:tcBorders>
              <w:top w:val="single" w:sz="6" w:space="0" w:color="auto"/>
              <w:left w:val="double" w:sz="6" w:space="0" w:color="auto"/>
            </w:tcBorders>
            <w:shd w:val="clear" w:color="auto" w:fill="auto"/>
          </w:tcPr>
          <w:p w:rsidR="0019180C" w:rsidRDefault="00745DAD">
            <w:pPr>
              <w:suppressAutoHyphens/>
              <w:jc w:val="center"/>
              <w:rPr>
                <w:spacing w:val="-3"/>
              </w:rPr>
            </w:pPr>
            <w:r w:rsidRPr="00745DAD">
              <w:rPr>
                <w:spacing w:val="-3"/>
                <w:sz w:val="22"/>
                <w:szCs w:val="22"/>
                <w:vertAlign w:val="subscript"/>
              </w:rPr>
              <w:t>PM10</w:t>
            </w:r>
          </w:p>
        </w:tc>
        <w:tc>
          <w:tcPr>
            <w:tcW w:w="1980" w:type="dxa"/>
            <w:tcBorders>
              <w:top w:val="single" w:sz="6" w:space="0" w:color="auto"/>
              <w:left w:val="single" w:sz="6" w:space="0" w:color="auto"/>
            </w:tcBorders>
            <w:shd w:val="clear" w:color="auto" w:fill="auto"/>
          </w:tcPr>
          <w:p w:rsidR="0019180C" w:rsidRDefault="0019180C">
            <w:pPr>
              <w:suppressAutoHyphens/>
              <w:jc w:val="center"/>
              <w:rPr>
                <w:spacing w:val="-3"/>
              </w:rPr>
            </w:pPr>
            <w:r>
              <w:rPr>
                <w:spacing w:val="-3"/>
              </w:rPr>
              <w:t>---</w:t>
            </w:r>
          </w:p>
        </w:tc>
        <w:tc>
          <w:tcPr>
            <w:tcW w:w="1536" w:type="dxa"/>
            <w:tcBorders>
              <w:top w:val="single" w:sz="6" w:space="0" w:color="auto"/>
              <w:left w:val="single" w:sz="6" w:space="0" w:color="auto"/>
              <w:right w:val="single" w:sz="4" w:space="0" w:color="auto"/>
            </w:tcBorders>
            <w:shd w:val="clear" w:color="auto" w:fill="auto"/>
          </w:tcPr>
          <w:p w:rsidR="0019180C" w:rsidRDefault="0019180C">
            <w:pPr>
              <w:suppressAutoHyphens/>
              <w:jc w:val="center"/>
              <w:rPr>
                <w:color w:val="0000FF"/>
                <w:spacing w:val="-3"/>
              </w:rPr>
            </w:pPr>
            <w:r>
              <w:rPr>
                <w:color w:val="0000FF"/>
                <w:spacing w:val="-3"/>
              </w:rPr>
              <w:t>[  ]</w:t>
            </w:r>
          </w:p>
        </w:tc>
        <w:tc>
          <w:tcPr>
            <w:tcW w:w="1524" w:type="dxa"/>
            <w:tcBorders>
              <w:top w:val="single" w:sz="6" w:space="0" w:color="auto"/>
              <w:left w:val="single" w:sz="4" w:space="0" w:color="auto"/>
              <w:right w:val="single" w:sz="4" w:space="0" w:color="auto"/>
            </w:tcBorders>
            <w:shd w:val="clear" w:color="auto" w:fill="auto"/>
          </w:tcPr>
          <w:p w:rsidR="0019180C" w:rsidRDefault="0019180C">
            <w:pPr>
              <w:suppressAutoHyphens/>
              <w:jc w:val="center"/>
              <w:rPr>
                <w:color w:val="0000FF"/>
                <w:spacing w:val="-3"/>
              </w:rPr>
            </w:pPr>
            <w:r>
              <w:rPr>
                <w:color w:val="0000FF"/>
                <w:spacing w:val="-3"/>
              </w:rPr>
              <w:t>[  ]</w:t>
            </w:r>
          </w:p>
        </w:tc>
        <w:tc>
          <w:tcPr>
            <w:tcW w:w="1440" w:type="dxa"/>
            <w:tcBorders>
              <w:top w:val="single" w:sz="6" w:space="0" w:color="auto"/>
              <w:left w:val="single" w:sz="4" w:space="0" w:color="auto"/>
              <w:right w:val="single" w:sz="4" w:space="0" w:color="auto"/>
            </w:tcBorders>
            <w:shd w:val="clear" w:color="auto" w:fill="auto"/>
          </w:tcPr>
          <w:p w:rsidR="0019180C" w:rsidRDefault="0019180C">
            <w:pPr>
              <w:suppressAutoHyphens/>
              <w:jc w:val="center"/>
              <w:rPr>
                <w:color w:val="0000FF"/>
                <w:spacing w:val="-3"/>
              </w:rPr>
            </w:pPr>
            <w:r>
              <w:rPr>
                <w:color w:val="0000FF"/>
                <w:spacing w:val="-3"/>
              </w:rPr>
              <w:t>[  ]</w:t>
            </w:r>
          </w:p>
        </w:tc>
        <w:tc>
          <w:tcPr>
            <w:tcW w:w="1440" w:type="dxa"/>
            <w:tcBorders>
              <w:top w:val="single" w:sz="6" w:space="0" w:color="auto"/>
              <w:left w:val="single" w:sz="4" w:space="0" w:color="auto"/>
              <w:right w:val="double" w:sz="6" w:space="0" w:color="auto"/>
            </w:tcBorders>
            <w:shd w:val="clear" w:color="auto" w:fill="auto"/>
          </w:tcPr>
          <w:p w:rsidR="0019180C" w:rsidRDefault="0019180C">
            <w:pPr>
              <w:suppressAutoHyphens/>
              <w:jc w:val="center"/>
              <w:rPr>
                <w:color w:val="0000FF"/>
                <w:spacing w:val="-3"/>
              </w:rPr>
            </w:pPr>
            <w:r>
              <w:rPr>
                <w:color w:val="0000FF"/>
                <w:spacing w:val="-3"/>
              </w:rPr>
              <w:t>[  ]</w:t>
            </w:r>
          </w:p>
        </w:tc>
      </w:tr>
      <w:tr w:rsidR="0019180C" w:rsidTr="00B031E6">
        <w:trPr>
          <w:jc w:val="center"/>
        </w:trPr>
        <w:tc>
          <w:tcPr>
            <w:tcW w:w="1260" w:type="dxa"/>
            <w:tcBorders>
              <w:top w:val="single" w:sz="6" w:space="0" w:color="auto"/>
              <w:left w:val="double" w:sz="6" w:space="0" w:color="auto"/>
            </w:tcBorders>
            <w:shd w:val="clear" w:color="auto" w:fill="auto"/>
          </w:tcPr>
          <w:p w:rsidR="0019180C" w:rsidRDefault="0019180C">
            <w:pPr>
              <w:suppressAutoHyphens/>
              <w:jc w:val="center"/>
              <w:rPr>
                <w:spacing w:val="-3"/>
              </w:rPr>
            </w:pPr>
            <w:r>
              <w:rPr>
                <w:spacing w:val="-3"/>
              </w:rPr>
              <w:t>CO</w:t>
            </w:r>
          </w:p>
        </w:tc>
        <w:tc>
          <w:tcPr>
            <w:tcW w:w="1980" w:type="dxa"/>
            <w:tcBorders>
              <w:top w:val="single" w:sz="6" w:space="0" w:color="auto"/>
              <w:left w:val="single" w:sz="6" w:space="0" w:color="auto"/>
            </w:tcBorders>
            <w:shd w:val="clear" w:color="auto" w:fill="auto"/>
          </w:tcPr>
          <w:p w:rsidR="0019180C" w:rsidRDefault="0019180C">
            <w:pPr>
              <w:suppressAutoHyphens/>
              <w:jc w:val="center"/>
              <w:rPr>
                <w:spacing w:val="-3"/>
              </w:rPr>
            </w:pPr>
            <w:r>
              <w:rPr>
                <w:spacing w:val="-3"/>
              </w:rPr>
              <w:t>---</w:t>
            </w:r>
          </w:p>
        </w:tc>
        <w:tc>
          <w:tcPr>
            <w:tcW w:w="1536" w:type="dxa"/>
            <w:tcBorders>
              <w:top w:val="single" w:sz="6" w:space="0" w:color="auto"/>
              <w:left w:val="single" w:sz="6" w:space="0" w:color="auto"/>
              <w:right w:val="single" w:sz="4" w:space="0" w:color="auto"/>
            </w:tcBorders>
            <w:shd w:val="clear" w:color="auto" w:fill="auto"/>
          </w:tcPr>
          <w:p w:rsidR="0019180C" w:rsidRDefault="0019180C">
            <w:pPr>
              <w:suppressAutoHyphens/>
              <w:jc w:val="center"/>
              <w:rPr>
                <w:color w:val="0000FF"/>
                <w:spacing w:val="-3"/>
              </w:rPr>
            </w:pPr>
            <w:r>
              <w:rPr>
                <w:color w:val="0000FF"/>
                <w:spacing w:val="-3"/>
              </w:rPr>
              <w:t>[  ]</w:t>
            </w:r>
          </w:p>
        </w:tc>
        <w:tc>
          <w:tcPr>
            <w:tcW w:w="1524" w:type="dxa"/>
            <w:tcBorders>
              <w:top w:val="single" w:sz="6" w:space="0" w:color="auto"/>
              <w:left w:val="single" w:sz="4" w:space="0" w:color="auto"/>
              <w:right w:val="single" w:sz="4" w:space="0" w:color="auto"/>
            </w:tcBorders>
            <w:shd w:val="clear" w:color="auto" w:fill="auto"/>
          </w:tcPr>
          <w:p w:rsidR="0019180C" w:rsidRDefault="0019180C">
            <w:pPr>
              <w:suppressAutoHyphens/>
              <w:jc w:val="center"/>
              <w:rPr>
                <w:color w:val="0000FF"/>
                <w:spacing w:val="-3"/>
              </w:rPr>
            </w:pPr>
            <w:r>
              <w:rPr>
                <w:color w:val="0000FF"/>
                <w:spacing w:val="-3"/>
              </w:rPr>
              <w:t>[  ]</w:t>
            </w:r>
          </w:p>
        </w:tc>
        <w:tc>
          <w:tcPr>
            <w:tcW w:w="1440" w:type="dxa"/>
            <w:tcBorders>
              <w:top w:val="single" w:sz="6" w:space="0" w:color="auto"/>
              <w:left w:val="single" w:sz="4" w:space="0" w:color="auto"/>
              <w:right w:val="single" w:sz="4" w:space="0" w:color="auto"/>
            </w:tcBorders>
            <w:shd w:val="clear" w:color="auto" w:fill="auto"/>
          </w:tcPr>
          <w:p w:rsidR="0019180C" w:rsidRDefault="0019180C">
            <w:pPr>
              <w:suppressAutoHyphens/>
              <w:jc w:val="center"/>
              <w:rPr>
                <w:color w:val="0000FF"/>
                <w:spacing w:val="-3"/>
              </w:rPr>
            </w:pPr>
            <w:r>
              <w:rPr>
                <w:color w:val="0000FF"/>
                <w:spacing w:val="-3"/>
              </w:rPr>
              <w:t>[  ]</w:t>
            </w:r>
          </w:p>
        </w:tc>
        <w:tc>
          <w:tcPr>
            <w:tcW w:w="1440" w:type="dxa"/>
            <w:tcBorders>
              <w:top w:val="single" w:sz="6" w:space="0" w:color="auto"/>
              <w:left w:val="single" w:sz="4" w:space="0" w:color="auto"/>
              <w:right w:val="double" w:sz="6" w:space="0" w:color="auto"/>
            </w:tcBorders>
            <w:shd w:val="clear" w:color="auto" w:fill="auto"/>
          </w:tcPr>
          <w:p w:rsidR="0019180C" w:rsidRDefault="0019180C">
            <w:pPr>
              <w:suppressAutoHyphens/>
              <w:jc w:val="center"/>
              <w:rPr>
                <w:color w:val="0000FF"/>
                <w:spacing w:val="-3"/>
              </w:rPr>
            </w:pPr>
            <w:r>
              <w:rPr>
                <w:color w:val="0000FF"/>
                <w:spacing w:val="-3"/>
              </w:rPr>
              <w:t>[  ]</w:t>
            </w:r>
          </w:p>
        </w:tc>
      </w:tr>
      <w:tr w:rsidR="0019180C" w:rsidTr="00B031E6">
        <w:trPr>
          <w:jc w:val="center"/>
        </w:trPr>
        <w:tc>
          <w:tcPr>
            <w:tcW w:w="1260" w:type="dxa"/>
            <w:tcBorders>
              <w:top w:val="single" w:sz="6" w:space="0" w:color="auto"/>
              <w:left w:val="double" w:sz="6" w:space="0" w:color="auto"/>
              <w:bottom w:val="double" w:sz="6" w:space="0" w:color="auto"/>
            </w:tcBorders>
            <w:shd w:val="clear" w:color="auto" w:fill="auto"/>
          </w:tcPr>
          <w:p w:rsidR="0019180C" w:rsidRDefault="0019180C">
            <w:pPr>
              <w:suppressAutoHyphens/>
              <w:jc w:val="center"/>
              <w:rPr>
                <w:spacing w:val="-3"/>
              </w:rPr>
            </w:pPr>
            <w:r>
              <w:rPr>
                <w:spacing w:val="-3"/>
              </w:rPr>
              <w:t>VOC</w:t>
            </w:r>
          </w:p>
        </w:tc>
        <w:tc>
          <w:tcPr>
            <w:tcW w:w="1980" w:type="dxa"/>
            <w:tcBorders>
              <w:top w:val="single" w:sz="6" w:space="0" w:color="auto"/>
              <w:left w:val="single" w:sz="6" w:space="0" w:color="auto"/>
              <w:bottom w:val="double" w:sz="6" w:space="0" w:color="auto"/>
            </w:tcBorders>
            <w:shd w:val="clear" w:color="auto" w:fill="auto"/>
          </w:tcPr>
          <w:p w:rsidR="0019180C" w:rsidRDefault="0019180C">
            <w:pPr>
              <w:suppressAutoHyphens/>
              <w:jc w:val="center"/>
              <w:rPr>
                <w:color w:val="0000FF"/>
                <w:spacing w:val="-3"/>
              </w:rPr>
            </w:pPr>
            <w:r>
              <w:rPr>
                <w:color w:val="0000FF"/>
                <w:spacing w:val="-3"/>
              </w:rPr>
              <w:t>[  ]</w:t>
            </w:r>
          </w:p>
        </w:tc>
        <w:tc>
          <w:tcPr>
            <w:tcW w:w="1536" w:type="dxa"/>
            <w:tcBorders>
              <w:top w:val="single" w:sz="6" w:space="0" w:color="auto"/>
              <w:left w:val="single" w:sz="6" w:space="0" w:color="auto"/>
              <w:bottom w:val="double" w:sz="6" w:space="0" w:color="auto"/>
              <w:right w:val="single" w:sz="4" w:space="0" w:color="auto"/>
            </w:tcBorders>
            <w:shd w:val="clear" w:color="auto" w:fill="auto"/>
          </w:tcPr>
          <w:p w:rsidR="0019180C" w:rsidRDefault="0019180C">
            <w:pPr>
              <w:suppressAutoHyphens/>
              <w:jc w:val="center"/>
              <w:rPr>
                <w:color w:val="0000FF"/>
                <w:spacing w:val="-3"/>
              </w:rPr>
            </w:pPr>
            <w:r>
              <w:rPr>
                <w:color w:val="0000FF"/>
                <w:spacing w:val="-3"/>
              </w:rPr>
              <w:t>[  ]</w:t>
            </w:r>
          </w:p>
        </w:tc>
        <w:tc>
          <w:tcPr>
            <w:tcW w:w="1524" w:type="dxa"/>
            <w:tcBorders>
              <w:top w:val="single" w:sz="6" w:space="0" w:color="auto"/>
              <w:left w:val="single" w:sz="4" w:space="0" w:color="auto"/>
              <w:bottom w:val="double" w:sz="6" w:space="0" w:color="auto"/>
              <w:right w:val="single" w:sz="4" w:space="0" w:color="auto"/>
            </w:tcBorders>
            <w:shd w:val="clear" w:color="auto" w:fill="auto"/>
          </w:tcPr>
          <w:p w:rsidR="0019180C" w:rsidRDefault="0019180C">
            <w:pPr>
              <w:suppressAutoHyphens/>
              <w:jc w:val="center"/>
              <w:rPr>
                <w:color w:val="0000FF"/>
                <w:spacing w:val="-3"/>
              </w:rPr>
            </w:pPr>
            <w:r>
              <w:rPr>
                <w:color w:val="0000FF"/>
                <w:spacing w:val="-3"/>
              </w:rPr>
              <w:t>[  ]</w:t>
            </w:r>
          </w:p>
        </w:tc>
        <w:tc>
          <w:tcPr>
            <w:tcW w:w="1440" w:type="dxa"/>
            <w:tcBorders>
              <w:top w:val="single" w:sz="6" w:space="0" w:color="auto"/>
              <w:left w:val="single" w:sz="4" w:space="0" w:color="auto"/>
              <w:bottom w:val="double" w:sz="6" w:space="0" w:color="auto"/>
              <w:right w:val="single" w:sz="4" w:space="0" w:color="auto"/>
            </w:tcBorders>
            <w:shd w:val="clear" w:color="auto" w:fill="auto"/>
          </w:tcPr>
          <w:p w:rsidR="0019180C" w:rsidRDefault="0019180C">
            <w:pPr>
              <w:suppressAutoHyphens/>
              <w:jc w:val="center"/>
              <w:rPr>
                <w:color w:val="0000FF"/>
                <w:spacing w:val="-3"/>
              </w:rPr>
            </w:pPr>
            <w:r>
              <w:rPr>
                <w:color w:val="0000FF"/>
                <w:spacing w:val="-3"/>
              </w:rPr>
              <w:t>[  ]</w:t>
            </w:r>
          </w:p>
        </w:tc>
        <w:tc>
          <w:tcPr>
            <w:tcW w:w="1440" w:type="dxa"/>
            <w:tcBorders>
              <w:top w:val="single" w:sz="6" w:space="0" w:color="auto"/>
              <w:left w:val="single" w:sz="4" w:space="0" w:color="auto"/>
              <w:bottom w:val="double" w:sz="6" w:space="0" w:color="auto"/>
              <w:right w:val="double" w:sz="6" w:space="0" w:color="auto"/>
            </w:tcBorders>
            <w:shd w:val="clear" w:color="auto" w:fill="auto"/>
          </w:tcPr>
          <w:p w:rsidR="0019180C" w:rsidRDefault="0019180C">
            <w:pPr>
              <w:suppressAutoHyphens/>
              <w:jc w:val="center"/>
              <w:rPr>
                <w:color w:val="0000FF"/>
                <w:spacing w:val="-3"/>
              </w:rPr>
            </w:pPr>
            <w:r>
              <w:rPr>
                <w:color w:val="0000FF"/>
                <w:spacing w:val="-3"/>
              </w:rPr>
              <w:t>[  ]</w:t>
            </w:r>
          </w:p>
        </w:tc>
      </w:tr>
    </w:tbl>
    <w:p w:rsidR="0019180C" w:rsidRDefault="0019180C">
      <w:pPr>
        <w:suppressAutoHyphens/>
        <w:spacing w:before="40" w:after="40"/>
        <w:jc w:val="both"/>
        <w:rPr>
          <w:spacing w:val="-3"/>
          <w:sz w:val="20"/>
        </w:rPr>
      </w:pPr>
    </w:p>
    <w:p w:rsidR="0019180C" w:rsidRDefault="0019180C">
      <w:pPr>
        <w:suppressAutoHyphens/>
        <w:spacing w:before="40" w:after="40"/>
        <w:jc w:val="both"/>
        <w:rPr>
          <w:spacing w:val="-3"/>
          <w:sz w:val="20"/>
        </w:rPr>
      </w:pPr>
      <w:r>
        <w:rPr>
          <w:spacing w:val="-3"/>
          <w:sz w:val="20"/>
        </w:rPr>
        <w:t>Note: PE</w:t>
      </w:r>
      <w:r>
        <w:rPr>
          <w:spacing w:val="-3"/>
          <w:sz w:val="20"/>
          <w:vertAlign w:val="subscript"/>
        </w:rPr>
        <w:t xml:space="preserve">Annual </w:t>
      </w:r>
      <w:r>
        <w:rPr>
          <w:spacing w:val="-3"/>
          <w:sz w:val="20"/>
        </w:rPr>
        <w:t>(lb/yr) = PE</w:t>
      </w:r>
      <w:r>
        <w:rPr>
          <w:spacing w:val="-3"/>
          <w:sz w:val="20"/>
          <w:vertAlign w:val="subscript"/>
        </w:rPr>
        <w:t xml:space="preserve">Daily </w:t>
      </w:r>
      <w:r>
        <w:rPr>
          <w:spacing w:val="-3"/>
          <w:sz w:val="20"/>
        </w:rPr>
        <w:t>(lb/day) x 365 (days/yr)</w:t>
      </w:r>
    </w:p>
    <w:p w:rsidR="0019180C" w:rsidRDefault="0019180C">
      <w:pPr>
        <w:suppressAutoHyphens/>
        <w:jc w:val="both"/>
        <w:rPr>
          <w:spacing w:val="-3"/>
        </w:rPr>
      </w:pPr>
      <w:r>
        <w:rPr>
          <w:spacing w:val="-3"/>
          <w:sz w:val="20"/>
        </w:rPr>
        <w:t>Note: PE</w:t>
      </w:r>
      <w:r>
        <w:rPr>
          <w:spacing w:val="-3"/>
          <w:sz w:val="20"/>
          <w:vertAlign w:val="subscript"/>
        </w:rPr>
        <w:t xml:space="preserve">Quarterly </w:t>
      </w:r>
      <w:r>
        <w:rPr>
          <w:spacing w:val="-3"/>
          <w:sz w:val="20"/>
        </w:rPr>
        <w:t>(lb/qtr) = (PE</w:t>
      </w:r>
      <w:r>
        <w:rPr>
          <w:spacing w:val="-3"/>
          <w:sz w:val="20"/>
          <w:vertAlign w:val="subscript"/>
        </w:rPr>
        <w:t>Annual</w:t>
      </w:r>
      <w:r>
        <w:rPr>
          <w:spacing w:val="-3"/>
          <w:sz w:val="20"/>
        </w:rPr>
        <w:t xml:space="preserve">) (lb/yr) </w:t>
      </w:r>
      <w:r>
        <w:rPr>
          <w:rFonts w:cs="Arial"/>
          <w:sz w:val="26"/>
          <w:szCs w:val="26"/>
        </w:rPr>
        <w:t>÷</w:t>
      </w:r>
      <w:r>
        <w:rPr>
          <w:spacing w:val="-3"/>
          <w:sz w:val="20"/>
        </w:rPr>
        <w:t xml:space="preserve"> 4  qtr/yr)</w:t>
      </w:r>
    </w:p>
    <w:p w:rsidR="0019180C" w:rsidRDefault="0019180C">
      <w:pPr>
        <w:suppressAutoHyphens/>
        <w:jc w:val="both"/>
        <w:rPr>
          <w:spacing w:val="-3"/>
        </w:rPr>
      </w:pPr>
    </w:p>
    <w:p w:rsidR="0019180C" w:rsidRDefault="0019180C">
      <w:pPr>
        <w:pStyle w:val="Heading3"/>
      </w:pPr>
      <w:r>
        <w:t>Pre-Project Stationary Source Potential to Emit (SSPE1)</w:t>
      </w:r>
    </w:p>
    <w:p w:rsidR="0019180C" w:rsidRDefault="0019180C">
      <w:pPr>
        <w:suppressAutoHyphens/>
        <w:jc w:val="both"/>
        <w:rPr>
          <w:spacing w:val="-3"/>
        </w:rPr>
      </w:pPr>
      <w:r>
        <w:rPr>
          <w:spacing w:val="-3"/>
        </w:rPr>
        <w:tab/>
      </w:r>
    </w:p>
    <w:p w:rsidR="0019180C" w:rsidRDefault="0019180C">
      <w:pPr>
        <w:suppressAutoHyphens/>
        <w:ind w:left="720"/>
        <w:jc w:val="both"/>
        <w:rPr>
          <w:i/>
          <w:iCs/>
          <w:color w:val="FF0000"/>
          <w:spacing w:val="-3"/>
        </w:rPr>
      </w:pPr>
      <w:r>
        <w:rPr>
          <w:i/>
          <w:iCs/>
          <w:color w:val="FF0000"/>
          <w:spacing w:val="-3"/>
        </w:rPr>
        <w:t xml:space="preserve"> [For New Facilities]</w:t>
      </w:r>
    </w:p>
    <w:p w:rsidR="0019180C" w:rsidRDefault="0019180C">
      <w:pPr>
        <w:suppressAutoHyphens/>
        <w:jc w:val="both"/>
        <w:rPr>
          <w:spacing w:val="-3"/>
        </w:rPr>
      </w:pPr>
    </w:p>
    <w:p w:rsidR="0019180C" w:rsidRDefault="0019180C">
      <w:pPr>
        <w:pStyle w:val="BodyTextIndent"/>
      </w:pPr>
      <w:r>
        <w:t>Since this is a new facility, SSPE1 is equal to zero.</w:t>
      </w:r>
    </w:p>
    <w:p w:rsidR="0019180C" w:rsidRDefault="0019180C">
      <w:pPr>
        <w:suppressAutoHyphens/>
        <w:ind w:left="1080"/>
        <w:jc w:val="both"/>
        <w:rPr>
          <w:i/>
          <w:color w:val="FF0000"/>
          <w:spacing w:val="-3"/>
        </w:rPr>
      </w:pPr>
    </w:p>
    <w:p w:rsidR="0019180C" w:rsidRDefault="0019180C">
      <w:pPr>
        <w:suppressAutoHyphens/>
        <w:ind w:left="720"/>
        <w:jc w:val="both"/>
        <w:rPr>
          <w:i/>
          <w:color w:val="FF0000"/>
          <w:spacing w:val="-3"/>
        </w:rPr>
      </w:pPr>
      <w:r>
        <w:rPr>
          <w:i/>
          <w:color w:val="FF0000"/>
          <w:spacing w:val="-3"/>
        </w:rPr>
        <w:t xml:space="preserve"> [For existing facilities]</w:t>
      </w:r>
    </w:p>
    <w:p w:rsidR="0019180C" w:rsidRDefault="0019180C">
      <w:pPr>
        <w:suppressAutoHyphens/>
        <w:ind w:left="1080"/>
        <w:jc w:val="both"/>
        <w:rPr>
          <w:i/>
          <w:color w:val="FF0000"/>
          <w:spacing w:val="-3"/>
        </w:rPr>
      </w:pPr>
    </w:p>
    <w:p w:rsidR="0019180C" w:rsidRDefault="0019180C">
      <w:pPr>
        <w:pStyle w:val="BodyTextIndent3"/>
        <w:suppressAutoHyphens w:val="0"/>
        <w:ind w:left="720"/>
        <w:rPr>
          <w:spacing w:val="0"/>
        </w:rPr>
      </w:pPr>
      <w:r>
        <w:rPr>
          <w:spacing w:val="0"/>
        </w:rPr>
        <w:t xml:space="preserve">Pursuant to Section 4.9 of District Rule 2201, the Pre-project Stationary Source Potential to Emit (SSPE1) is the Potential to Emit (PE) from all units with valid Authorities to Construct (ATC) or Permits to Operate (PTO) at the Stationary Source and the quantity of emission reduction credits (ERC) which have been banked since September 19, 1991 for Actual Emissions Reductions that have occurred at the source, and which have not been used on-site. </w:t>
      </w:r>
    </w:p>
    <w:p w:rsidR="0019180C" w:rsidRDefault="0019180C">
      <w:pPr>
        <w:suppressAutoHyphens/>
        <w:ind w:left="1080"/>
        <w:jc w:val="both"/>
        <w:rPr>
          <w:i/>
          <w:color w:val="FF0000"/>
          <w:spacing w:val="-3"/>
        </w:rPr>
      </w:pPr>
    </w:p>
    <w:p w:rsidR="0019180C" w:rsidRDefault="0019180C">
      <w:pPr>
        <w:suppressAutoHyphens/>
        <w:ind w:left="720"/>
        <w:jc w:val="both"/>
        <w:rPr>
          <w:spacing w:val="-3"/>
        </w:rPr>
      </w:pPr>
      <w:r>
        <w:rPr>
          <w:spacing w:val="-3"/>
        </w:rPr>
        <w:t>Since this is an existing facility, SSPE1 is equal to the PE</w:t>
      </w:r>
      <w:r>
        <w:rPr>
          <w:spacing w:val="-3"/>
          <w:vertAlign w:val="subscript"/>
        </w:rPr>
        <w:t xml:space="preserve">Total Pre-Project </w:t>
      </w:r>
      <w:r>
        <w:rPr>
          <w:spacing w:val="-3"/>
        </w:rPr>
        <w:t>for all criteria pollutants.</w:t>
      </w:r>
    </w:p>
    <w:p w:rsidR="0019180C" w:rsidRDefault="0019180C">
      <w:pPr>
        <w:suppressAutoHyphens/>
        <w:ind w:left="1080"/>
        <w:jc w:val="both"/>
        <w:rPr>
          <w:spacing w:val="-3"/>
        </w:rPr>
      </w:pPr>
    </w:p>
    <w:p w:rsidR="0019180C" w:rsidRDefault="0019180C">
      <w:pPr>
        <w:pStyle w:val="BodyTextIndent"/>
      </w:pPr>
      <w:r>
        <w:t>The Pre-project Stationary Source Potential to Emit (SSPE1) is presented in the following table:</w:t>
      </w:r>
    </w:p>
    <w:p w:rsidR="0019180C" w:rsidRDefault="0019180C">
      <w:pPr>
        <w:suppressAutoHyphens/>
        <w:jc w:val="both"/>
        <w:rPr>
          <w:spacing w:val="-3"/>
        </w:rPr>
      </w:pPr>
    </w:p>
    <w:tbl>
      <w:tblPr>
        <w:tblW w:w="819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260"/>
        <w:gridCol w:w="1260"/>
        <w:gridCol w:w="1350"/>
        <w:gridCol w:w="1260"/>
        <w:gridCol w:w="1260"/>
      </w:tblGrid>
      <w:tr w:rsidR="0019180C" w:rsidTr="00B031E6">
        <w:trPr>
          <w:cantSplit/>
        </w:trPr>
        <w:tc>
          <w:tcPr>
            <w:tcW w:w="8190"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19180C" w:rsidRDefault="0019180C">
            <w:pPr>
              <w:pStyle w:val="Header"/>
              <w:tabs>
                <w:tab w:val="clear" w:pos="4320"/>
                <w:tab w:val="clear" w:pos="8640"/>
              </w:tabs>
              <w:spacing w:before="40" w:after="40"/>
              <w:jc w:val="center"/>
              <w:rPr>
                <w:b/>
              </w:rPr>
            </w:pPr>
            <w:r w:rsidRPr="00B031E6">
              <w:rPr>
                <w:b/>
              </w:rPr>
              <w:t>Pre-Project Stationary Source Potential to Emit [SSPE1] (lb/year)</w:t>
            </w:r>
          </w:p>
        </w:tc>
      </w:tr>
      <w:tr w:rsidR="0019180C" w:rsidTr="00B031E6">
        <w:tc>
          <w:tcPr>
            <w:tcW w:w="1800" w:type="dxa"/>
            <w:tcBorders>
              <w:top w:val="double" w:sz="4" w:space="0" w:color="auto"/>
              <w:left w:val="double" w:sz="4" w:space="0" w:color="auto"/>
              <w:bottom w:val="double" w:sz="4" w:space="0" w:color="auto"/>
            </w:tcBorders>
            <w:shd w:val="clear" w:color="auto" w:fill="auto"/>
          </w:tcPr>
          <w:p w:rsidR="0019180C" w:rsidRDefault="0019180C">
            <w:pPr>
              <w:pStyle w:val="Header"/>
              <w:tabs>
                <w:tab w:val="clear" w:pos="4320"/>
                <w:tab w:val="clear" w:pos="8640"/>
              </w:tabs>
              <w:spacing w:before="20" w:after="20"/>
              <w:jc w:val="center"/>
              <w:rPr>
                <w:b/>
                <w:bCs/>
              </w:rPr>
            </w:pPr>
            <w:r>
              <w:rPr>
                <w:b/>
                <w:bCs/>
              </w:rPr>
              <w:t>Permit #</w:t>
            </w:r>
          </w:p>
        </w:tc>
        <w:tc>
          <w:tcPr>
            <w:tcW w:w="1260" w:type="dxa"/>
            <w:tcBorders>
              <w:top w:val="double" w:sz="4" w:space="0" w:color="auto"/>
              <w:bottom w:val="double" w:sz="4" w:space="0" w:color="auto"/>
            </w:tcBorders>
            <w:shd w:val="clear" w:color="auto" w:fill="auto"/>
          </w:tcPr>
          <w:p w:rsidR="0019180C" w:rsidRDefault="0019180C">
            <w:pPr>
              <w:pStyle w:val="Header"/>
              <w:tabs>
                <w:tab w:val="clear" w:pos="4320"/>
                <w:tab w:val="clear" w:pos="8640"/>
              </w:tabs>
              <w:spacing w:before="20" w:after="20"/>
              <w:jc w:val="center"/>
              <w:rPr>
                <w:b/>
                <w:bCs/>
              </w:rPr>
            </w:pPr>
            <w:r>
              <w:rPr>
                <w:b/>
                <w:bCs/>
              </w:rPr>
              <w:t>NO</w:t>
            </w:r>
            <w:r>
              <w:rPr>
                <w:b/>
                <w:bCs/>
                <w:vertAlign w:val="subscript"/>
              </w:rPr>
              <w:t>X</w:t>
            </w:r>
          </w:p>
        </w:tc>
        <w:tc>
          <w:tcPr>
            <w:tcW w:w="1260" w:type="dxa"/>
            <w:tcBorders>
              <w:top w:val="double" w:sz="4" w:space="0" w:color="auto"/>
              <w:bottom w:val="double" w:sz="4" w:space="0" w:color="auto"/>
            </w:tcBorders>
            <w:shd w:val="clear" w:color="auto" w:fill="auto"/>
          </w:tcPr>
          <w:p w:rsidR="0019180C" w:rsidRDefault="0019180C">
            <w:pPr>
              <w:pStyle w:val="Header"/>
              <w:tabs>
                <w:tab w:val="clear" w:pos="4320"/>
                <w:tab w:val="clear" w:pos="8640"/>
              </w:tabs>
              <w:spacing w:before="20" w:after="20"/>
              <w:jc w:val="center"/>
              <w:rPr>
                <w:b/>
                <w:bCs/>
              </w:rPr>
            </w:pPr>
            <w:r>
              <w:rPr>
                <w:b/>
                <w:bCs/>
              </w:rPr>
              <w:t>SOx</w:t>
            </w:r>
          </w:p>
        </w:tc>
        <w:tc>
          <w:tcPr>
            <w:tcW w:w="1350" w:type="dxa"/>
            <w:tcBorders>
              <w:top w:val="double" w:sz="4" w:space="0" w:color="auto"/>
              <w:bottom w:val="double" w:sz="4" w:space="0" w:color="auto"/>
            </w:tcBorders>
            <w:shd w:val="clear" w:color="auto" w:fill="auto"/>
          </w:tcPr>
          <w:p w:rsidR="0019180C" w:rsidRDefault="0019180C">
            <w:pPr>
              <w:pStyle w:val="Header"/>
              <w:tabs>
                <w:tab w:val="clear" w:pos="4320"/>
                <w:tab w:val="clear" w:pos="8640"/>
              </w:tabs>
              <w:spacing w:before="20" w:after="20"/>
              <w:jc w:val="center"/>
              <w:rPr>
                <w:b/>
                <w:bCs/>
              </w:rPr>
            </w:pPr>
            <w:r>
              <w:rPr>
                <w:b/>
                <w:bCs/>
              </w:rPr>
              <w:t>PM</w:t>
            </w:r>
            <w:r>
              <w:rPr>
                <w:b/>
                <w:bCs/>
                <w:vertAlign w:val="subscript"/>
              </w:rPr>
              <w:t>10</w:t>
            </w:r>
          </w:p>
        </w:tc>
        <w:tc>
          <w:tcPr>
            <w:tcW w:w="1260" w:type="dxa"/>
            <w:tcBorders>
              <w:top w:val="double" w:sz="4" w:space="0" w:color="auto"/>
              <w:bottom w:val="double" w:sz="4" w:space="0" w:color="auto"/>
            </w:tcBorders>
            <w:shd w:val="clear" w:color="auto" w:fill="auto"/>
          </w:tcPr>
          <w:p w:rsidR="0019180C" w:rsidRDefault="0019180C">
            <w:pPr>
              <w:pStyle w:val="Header"/>
              <w:tabs>
                <w:tab w:val="clear" w:pos="4320"/>
                <w:tab w:val="clear" w:pos="8640"/>
              </w:tabs>
              <w:spacing w:before="20" w:after="20"/>
              <w:jc w:val="center"/>
              <w:rPr>
                <w:b/>
                <w:bCs/>
              </w:rPr>
            </w:pPr>
            <w:r>
              <w:rPr>
                <w:b/>
                <w:bCs/>
              </w:rPr>
              <w:t>CO</w:t>
            </w:r>
          </w:p>
        </w:tc>
        <w:tc>
          <w:tcPr>
            <w:tcW w:w="1260" w:type="dxa"/>
            <w:tcBorders>
              <w:top w:val="double" w:sz="4" w:space="0" w:color="auto"/>
              <w:bottom w:val="double" w:sz="4" w:space="0" w:color="auto"/>
              <w:right w:val="double" w:sz="4" w:space="0" w:color="auto"/>
            </w:tcBorders>
            <w:shd w:val="clear" w:color="auto" w:fill="auto"/>
          </w:tcPr>
          <w:p w:rsidR="0019180C" w:rsidRDefault="0019180C">
            <w:pPr>
              <w:pStyle w:val="Header"/>
              <w:tabs>
                <w:tab w:val="clear" w:pos="4320"/>
                <w:tab w:val="clear" w:pos="8640"/>
              </w:tabs>
              <w:spacing w:before="20" w:after="20"/>
              <w:jc w:val="center"/>
              <w:rPr>
                <w:b/>
                <w:bCs/>
              </w:rPr>
            </w:pPr>
            <w:r>
              <w:rPr>
                <w:b/>
                <w:bCs/>
              </w:rPr>
              <w:t>VOC</w:t>
            </w:r>
          </w:p>
        </w:tc>
      </w:tr>
      <w:tr w:rsidR="0019180C">
        <w:tblPrEx>
          <w:tblBorders>
            <w:top w:val="double" w:sz="4" w:space="0" w:color="auto"/>
            <w:left w:val="double" w:sz="4" w:space="0" w:color="auto"/>
            <w:bottom w:val="double" w:sz="4" w:space="0" w:color="auto"/>
            <w:right w:val="double" w:sz="4" w:space="0" w:color="auto"/>
          </w:tblBorders>
        </w:tblPrEx>
        <w:trPr>
          <w:cantSplit/>
        </w:trPr>
        <w:tc>
          <w:tcPr>
            <w:tcW w:w="1800" w:type="dxa"/>
          </w:tcPr>
          <w:p w:rsidR="0019180C" w:rsidRDefault="0019180C">
            <w:pPr>
              <w:suppressAutoHyphens/>
              <w:jc w:val="both"/>
              <w:rPr>
                <w:color w:val="0000FF"/>
                <w:spacing w:val="-3"/>
              </w:rPr>
            </w:pPr>
            <w:r>
              <w:rPr>
                <w:color w:val="0000FF"/>
                <w:spacing w:val="-3"/>
              </w:rPr>
              <w:t>C-xxxx-x-x</w:t>
            </w:r>
          </w:p>
        </w:tc>
        <w:tc>
          <w:tcPr>
            <w:tcW w:w="1260" w:type="dxa"/>
          </w:tcPr>
          <w:p w:rsidR="0019180C" w:rsidRDefault="0019180C">
            <w:pPr>
              <w:tabs>
                <w:tab w:val="left" w:pos="-720"/>
              </w:tabs>
              <w:suppressAutoHyphens/>
              <w:ind w:left="-108" w:right="-124"/>
              <w:jc w:val="center"/>
              <w:rPr>
                <w:color w:val="0000FF"/>
              </w:rPr>
            </w:pPr>
            <w:r>
              <w:rPr>
                <w:color w:val="0000FF"/>
              </w:rPr>
              <w:t>0</w:t>
            </w:r>
          </w:p>
        </w:tc>
        <w:tc>
          <w:tcPr>
            <w:tcW w:w="1260" w:type="dxa"/>
          </w:tcPr>
          <w:p w:rsidR="0019180C" w:rsidRDefault="0019180C">
            <w:pPr>
              <w:tabs>
                <w:tab w:val="left" w:pos="-720"/>
              </w:tabs>
              <w:suppressAutoHyphens/>
              <w:ind w:left="-108" w:right="-124"/>
              <w:jc w:val="center"/>
              <w:rPr>
                <w:color w:val="0000FF"/>
              </w:rPr>
            </w:pPr>
            <w:r>
              <w:rPr>
                <w:color w:val="0000FF"/>
              </w:rPr>
              <w:t>0</w:t>
            </w:r>
          </w:p>
        </w:tc>
        <w:tc>
          <w:tcPr>
            <w:tcW w:w="1350" w:type="dxa"/>
          </w:tcPr>
          <w:p w:rsidR="0019180C" w:rsidRDefault="0019180C">
            <w:pPr>
              <w:tabs>
                <w:tab w:val="left" w:pos="-720"/>
              </w:tabs>
              <w:suppressAutoHyphens/>
              <w:ind w:left="-108" w:right="-124"/>
              <w:jc w:val="center"/>
              <w:rPr>
                <w:color w:val="0000FF"/>
              </w:rPr>
            </w:pPr>
            <w:r>
              <w:rPr>
                <w:color w:val="0000FF"/>
              </w:rPr>
              <w:t>0</w:t>
            </w:r>
          </w:p>
        </w:tc>
        <w:tc>
          <w:tcPr>
            <w:tcW w:w="1260" w:type="dxa"/>
          </w:tcPr>
          <w:p w:rsidR="0019180C" w:rsidRDefault="0019180C">
            <w:pPr>
              <w:tabs>
                <w:tab w:val="left" w:pos="-720"/>
              </w:tabs>
              <w:suppressAutoHyphens/>
              <w:ind w:left="-108" w:right="-124"/>
              <w:jc w:val="center"/>
              <w:rPr>
                <w:color w:val="0000FF"/>
              </w:rPr>
            </w:pPr>
            <w:r>
              <w:rPr>
                <w:color w:val="0000FF"/>
              </w:rPr>
              <w:t>0</w:t>
            </w:r>
          </w:p>
        </w:tc>
        <w:tc>
          <w:tcPr>
            <w:tcW w:w="1260" w:type="dxa"/>
          </w:tcPr>
          <w:p w:rsidR="0019180C" w:rsidRDefault="0019180C">
            <w:pPr>
              <w:tabs>
                <w:tab w:val="left" w:pos="-720"/>
              </w:tabs>
              <w:suppressAutoHyphens/>
              <w:ind w:left="-108" w:right="-124"/>
              <w:jc w:val="center"/>
              <w:rPr>
                <w:color w:val="0000FF"/>
              </w:rPr>
            </w:pPr>
            <w:r>
              <w:rPr>
                <w:color w:val="0000FF"/>
              </w:rPr>
              <w:t>0</w:t>
            </w:r>
          </w:p>
        </w:tc>
      </w:tr>
      <w:tr w:rsidR="0019180C">
        <w:tblPrEx>
          <w:tblBorders>
            <w:top w:val="double" w:sz="4" w:space="0" w:color="auto"/>
            <w:left w:val="double" w:sz="4" w:space="0" w:color="auto"/>
            <w:bottom w:val="double" w:sz="4" w:space="0" w:color="auto"/>
            <w:right w:val="double" w:sz="4" w:space="0" w:color="auto"/>
          </w:tblBorders>
        </w:tblPrEx>
        <w:trPr>
          <w:cantSplit/>
        </w:trPr>
        <w:tc>
          <w:tcPr>
            <w:tcW w:w="1800" w:type="dxa"/>
            <w:tcBorders>
              <w:top w:val="single" w:sz="18" w:space="0" w:color="auto"/>
              <w:bottom w:val="double" w:sz="4" w:space="0" w:color="auto"/>
            </w:tcBorders>
          </w:tcPr>
          <w:p w:rsidR="0019180C" w:rsidRDefault="0019180C">
            <w:pPr>
              <w:tabs>
                <w:tab w:val="left" w:pos="-720"/>
              </w:tabs>
              <w:suppressAutoHyphens/>
              <w:ind w:right="-360"/>
              <w:jc w:val="center"/>
            </w:pPr>
            <w:r>
              <w:t>Total</w:t>
            </w:r>
          </w:p>
        </w:tc>
        <w:tc>
          <w:tcPr>
            <w:tcW w:w="1260" w:type="dxa"/>
            <w:tcBorders>
              <w:top w:val="single" w:sz="18" w:space="0" w:color="auto"/>
              <w:bottom w:val="double" w:sz="4" w:space="0" w:color="auto"/>
            </w:tcBorders>
          </w:tcPr>
          <w:p w:rsidR="0019180C" w:rsidRDefault="0019180C">
            <w:pPr>
              <w:tabs>
                <w:tab w:val="left" w:pos="-720"/>
              </w:tabs>
              <w:suppressAutoHyphens/>
              <w:ind w:left="-108" w:right="-124"/>
              <w:jc w:val="center"/>
              <w:rPr>
                <w:color w:val="0000FF"/>
              </w:rPr>
            </w:pPr>
            <w:r>
              <w:rPr>
                <w:color w:val="0000FF"/>
              </w:rPr>
              <w:t>0</w:t>
            </w:r>
          </w:p>
        </w:tc>
        <w:tc>
          <w:tcPr>
            <w:tcW w:w="1260" w:type="dxa"/>
            <w:tcBorders>
              <w:top w:val="single" w:sz="18" w:space="0" w:color="auto"/>
              <w:bottom w:val="double" w:sz="4" w:space="0" w:color="auto"/>
            </w:tcBorders>
          </w:tcPr>
          <w:p w:rsidR="0019180C" w:rsidRDefault="0019180C">
            <w:pPr>
              <w:tabs>
                <w:tab w:val="left" w:pos="-720"/>
              </w:tabs>
              <w:suppressAutoHyphens/>
              <w:ind w:left="-108" w:right="-124"/>
              <w:jc w:val="center"/>
              <w:rPr>
                <w:color w:val="0000FF"/>
              </w:rPr>
            </w:pPr>
            <w:r>
              <w:rPr>
                <w:color w:val="0000FF"/>
              </w:rPr>
              <w:t>0</w:t>
            </w:r>
          </w:p>
        </w:tc>
        <w:tc>
          <w:tcPr>
            <w:tcW w:w="1350" w:type="dxa"/>
            <w:tcBorders>
              <w:top w:val="single" w:sz="18" w:space="0" w:color="auto"/>
              <w:bottom w:val="double" w:sz="4" w:space="0" w:color="auto"/>
            </w:tcBorders>
          </w:tcPr>
          <w:p w:rsidR="0019180C" w:rsidRDefault="0019180C">
            <w:pPr>
              <w:tabs>
                <w:tab w:val="left" w:pos="-720"/>
              </w:tabs>
              <w:suppressAutoHyphens/>
              <w:ind w:left="-108" w:right="-124"/>
              <w:jc w:val="center"/>
              <w:rPr>
                <w:color w:val="0000FF"/>
              </w:rPr>
            </w:pPr>
            <w:r>
              <w:rPr>
                <w:color w:val="0000FF"/>
              </w:rPr>
              <w:t>0</w:t>
            </w:r>
          </w:p>
        </w:tc>
        <w:tc>
          <w:tcPr>
            <w:tcW w:w="1260" w:type="dxa"/>
            <w:tcBorders>
              <w:top w:val="single" w:sz="18" w:space="0" w:color="auto"/>
              <w:bottom w:val="double" w:sz="4" w:space="0" w:color="auto"/>
            </w:tcBorders>
          </w:tcPr>
          <w:p w:rsidR="0019180C" w:rsidRDefault="0019180C">
            <w:pPr>
              <w:tabs>
                <w:tab w:val="left" w:pos="-720"/>
              </w:tabs>
              <w:suppressAutoHyphens/>
              <w:ind w:left="-108" w:right="-124"/>
              <w:jc w:val="center"/>
              <w:rPr>
                <w:color w:val="0000FF"/>
              </w:rPr>
            </w:pPr>
            <w:r>
              <w:rPr>
                <w:color w:val="0000FF"/>
              </w:rPr>
              <w:t>0</w:t>
            </w:r>
          </w:p>
        </w:tc>
        <w:tc>
          <w:tcPr>
            <w:tcW w:w="1260" w:type="dxa"/>
            <w:tcBorders>
              <w:top w:val="single" w:sz="18" w:space="0" w:color="auto"/>
              <w:bottom w:val="double" w:sz="4" w:space="0" w:color="auto"/>
            </w:tcBorders>
          </w:tcPr>
          <w:p w:rsidR="0019180C" w:rsidRDefault="0019180C">
            <w:pPr>
              <w:tabs>
                <w:tab w:val="left" w:pos="-720"/>
              </w:tabs>
              <w:suppressAutoHyphens/>
              <w:ind w:left="-108" w:right="-124"/>
              <w:jc w:val="center"/>
              <w:rPr>
                <w:color w:val="0000FF"/>
              </w:rPr>
            </w:pPr>
            <w:r>
              <w:rPr>
                <w:color w:val="0000FF"/>
              </w:rPr>
              <w:t>0</w:t>
            </w:r>
          </w:p>
        </w:tc>
      </w:tr>
    </w:tbl>
    <w:p w:rsidR="0019180C" w:rsidRDefault="0019180C">
      <w:pPr>
        <w:suppressAutoHyphens/>
        <w:ind w:firstLine="720"/>
        <w:jc w:val="both"/>
        <w:rPr>
          <w:spacing w:val="-3"/>
        </w:rPr>
      </w:pPr>
    </w:p>
    <w:p w:rsidR="0019180C" w:rsidRDefault="0019180C">
      <w:pPr>
        <w:pStyle w:val="Heading3"/>
      </w:pPr>
      <w:r>
        <w:rPr>
          <w:spacing w:val="-3"/>
        </w:rPr>
        <w:lastRenderedPageBreak/>
        <w:t xml:space="preserve">Post-Project </w:t>
      </w:r>
      <w:r>
        <w:t>Stationary Source Potential to Emit (SSPE2)</w:t>
      </w:r>
    </w:p>
    <w:p w:rsidR="0019180C" w:rsidRDefault="0019180C">
      <w:pPr>
        <w:suppressAutoHyphens/>
        <w:jc w:val="both"/>
        <w:rPr>
          <w:b/>
          <w:bCs/>
          <w:spacing w:val="-3"/>
        </w:rPr>
      </w:pPr>
    </w:p>
    <w:p w:rsidR="0019180C" w:rsidRDefault="0019180C">
      <w:pPr>
        <w:suppressAutoHyphens/>
        <w:ind w:left="720"/>
        <w:jc w:val="both"/>
      </w:pPr>
      <w:r>
        <w:rPr>
          <w:spacing w:val="-3"/>
        </w:rPr>
        <w:t xml:space="preserve">Pursuant to Section 4.10 </w:t>
      </w:r>
      <w:r>
        <w:t xml:space="preserve">of District Rule 2201, the Post-project Stationary Source Potential to Emit (SSPE1) is the Potential to Emit (PE) from all units with valid Authorities to Construct (ATC) or Permits to Operate (PTO) at the Stationary Source and the quantity of emission reduction credits (ERC) which have been banked since September 19, 1991 for Actual Emissions Reductions that have occurred at the source, and which have not been used on-site.  </w:t>
      </w:r>
      <w:r>
        <w:rPr>
          <w:spacing w:val="-3"/>
        </w:rPr>
        <w:t>The Post-project Stationary Source Potential to Emit (SSPE2) is presented in the following table:</w:t>
      </w:r>
    </w:p>
    <w:p w:rsidR="0019180C" w:rsidRDefault="0019180C">
      <w:pPr>
        <w:ind w:left="1080"/>
        <w:jc w:val="both"/>
      </w:pPr>
    </w:p>
    <w:tbl>
      <w:tblPr>
        <w:tblW w:w="819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260"/>
        <w:gridCol w:w="1260"/>
        <w:gridCol w:w="1350"/>
        <w:gridCol w:w="1260"/>
        <w:gridCol w:w="1260"/>
      </w:tblGrid>
      <w:tr w:rsidR="0019180C" w:rsidTr="00B031E6">
        <w:trPr>
          <w:cantSplit/>
          <w:trHeight w:val="443"/>
        </w:trPr>
        <w:tc>
          <w:tcPr>
            <w:tcW w:w="8190"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19180C" w:rsidRDefault="0019180C">
            <w:pPr>
              <w:jc w:val="center"/>
              <w:rPr>
                <w:b/>
                <w:bCs/>
              </w:rPr>
            </w:pPr>
            <w:r w:rsidRPr="00B031E6">
              <w:rPr>
                <w:b/>
              </w:rPr>
              <w:t>Post Project Stationary Source Potential to Emit [SSPE2] (lb/year)</w:t>
            </w:r>
          </w:p>
        </w:tc>
      </w:tr>
      <w:tr w:rsidR="0019180C" w:rsidTr="00B031E6">
        <w:tc>
          <w:tcPr>
            <w:tcW w:w="1800" w:type="dxa"/>
            <w:tcBorders>
              <w:top w:val="double" w:sz="4" w:space="0" w:color="auto"/>
              <w:left w:val="double" w:sz="4" w:space="0" w:color="auto"/>
              <w:bottom w:val="double" w:sz="4" w:space="0" w:color="auto"/>
            </w:tcBorders>
            <w:shd w:val="clear" w:color="auto" w:fill="auto"/>
          </w:tcPr>
          <w:p w:rsidR="0019180C" w:rsidRDefault="0019180C">
            <w:pPr>
              <w:pStyle w:val="Header"/>
              <w:tabs>
                <w:tab w:val="clear" w:pos="4320"/>
                <w:tab w:val="clear" w:pos="8640"/>
              </w:tabs>
              <w:spacing w:before="20" w:after="20"/>
              <w:jc w:val="center"/>
              <w:rPr>
                <w:b/>
                <w:bCs/>
              </w:rPr>
            </w:pPr>
            <w:r>
              <w:rPr>
                <w:b/>
                <w:bCs/>
              </w:rPr>
              <w:t>Permit #</w:t>
            </w:r>
          </w:p>
        </w:tc>
        <w:tc>
          <w:tcPr>
            <w:tcW w:w="1260" w:type="dxa"/>
            <w:tcBorders>
              <w:top w:val="double" w:sz="4" w:space="0" w:color="auto"/>
              <w:bottom w:val="double" w:sz="4" w:space="0" w:color="auto"/>
            </w:tcBorders>
            <w:shd w:val="clear" w:color="auto" w:fill="auto"/>
          </w:tcPr>
          <w:p w:rsidR="0019180C" w:rsidRDefault="0019180C">
            <w:pPr>
              <w:pStyle w:val="Header"/>
              <w:tabs>
                <w:tab w:val="clear" w:pos="4320"/>
                <w:tab w:val="clear" w:pos="8640"/>
              </w:tabs>
              <w:spacing w:before="20" w:after="20"/>
              <w:jc w:val="center"/>
              <w:rPr>
                <w:b/>
                <w:bCs/>
              </w:rPr>
            </w:pPr>
            <w:r>
              <w:rPr>
                <w:b/>
                <w:bCs/>
              </w:rPr>
              <w:t>NO</w:t>
            </w:r>
            <w:r>
              <w:rPr>
                <w:b/>
                <w:bCs/>
                <w:vertAlign w:val="subscript"/>
              </w:rPr>
              <w:t>X</w:t>
            </w:r>
          </w:p>
        </w:tc>
        <w:tc>
          <w:tcPr>
            <w:tcW w:w="1260" w:type="dxa"/>
            <w:tcBorders>
              <w:top w:val="double" w:sz="4" w:space="0" w:color="auto"/>
              <w:bottom w:val="double" w:sz="4" w:space="0" w:color="auto"/>
            </w:tcBorders>
            <w:shd w:val="clear" w:color="auto" w:fill="auto"/>
          </w:tcPr>
          <w:p w:rsidR="0019180C" w:rsidRDefault="0019180C">
            <w:pPr>
              <w:pStyle w:val="Header"/>
              <w:tabs>
                <w:tab w:val="clear" w:pos="4320"/>
                <w:tab w:val="clear" w:pos="8640"/>
              </w:tabs>
              <w:spacing w:before="20" w:after="20"/>
              <w:jc w:val="center"/>
              <w:rPr>
                <w:b/>
                <w:bCs/>
              </w:rPr>
            </w:pPr>
            <w:r>
              <w:rPr>
                <w:b/>
                <w:bCs/>
              </w:rPr>
              <w:t>SOx</w:t>
            </w:r>
          </w:p>
        </w:tc>
        <w:tc>
          <w:tcPr>
            <w:tcW w:w="1350" w:type="dxa"/>
            <w:tcBorders>
              <w:top w:val="double" w:sz="4" w:space="0" w:color="auto"/>
              <w:bottom w:val="double" w:sz="4" w:space="0" w:color="auto"/>
            </w:tcBorders>
            <w:shd w:val="clear" w:color="auto" w:fill="auto"/>
          </w:tcPr>
          <w:p w:rsidR="0019180C" w:rsidRDefault="0019180C">
            <w:pPr>
              <w:pStyle w:val="Header"/>
              <w:tabs>
                <w:tab w:val="clear" w:pos="4320"/>
                <w:tab w:val="clear" w:pos="8640"/>
              </w:tabs>
              <w:spacing w:before="20" w:after="20"/>
              <w:jc w:val="center"/>
              <w:rPr>
                <w:b/>
                <w:bCs/>
              </w:rPr>
            </w:pPr>
            <w:r>
              <w:rPr>
                <w:b/>
                <w:bCs/>
              </w:rPr>
              <w:t>PM</w:t>
            </w:r>
            <w:r>
              <w:rPr>
                <w:b/>
                <w:bCs/>
                <w:vertAlign w:val="subscript"/>
              </w:rPr>
              <w:t>10</w:t>
            </w:r>
          </w:p>
        </w:tc>
        <w:tc>
          <w:tcPr>
            <w:tcW w:w="1260" w:type="dxa"/>
            <w:tcBorders>
              <w:top w:val="double" w:sz="4" w:space="0" w:color="auto"/>
              <w:bottom w:val="double" w:sz="4" w:space="0" w:color="auto"/>
            </w:tcBorders>
            <w:shd w:val="clear" w:color="auto" w:fill="auto"/>
          </w:tcPr>
          <w:p w:rsidR="0019180C" w:rsidRDefault="0019180C">
            <w:pPr>
              <w:pStyle w:val="Header"/>
              <w:tabs>
                <w:tab w:val="clear" w:pos="4320"/>
                <w:tab w:val="clear" w:pos="8640"/>
              </w:tabs>
              <w:spacing w:before="20" w:after="20"/>
              <w:jc w:val="center"/>
              <w:rPr>
                <w:b/>
                <w:bCs/>
              </w:rPr>
            </w:pPr>
            <w:r>
              <w:rPr>
                <w:b/>
                <w:bCs/>
              </w:rPr>
              <w:t>CO</w:t>
            </w:r>
          </w:p>
        </w:tc>
        <w:tc>
          <w:tcPr>
            <w:tcW w:w="1260" w:type="dxa"/>
            <w:tcBorders>
              <w:top w:val="double" w:sz="4" w:space="0" w:color="auto"/>
              <w:bottom w:val="double" w:sz="4" w:space="0" w:color="auto"/>
              <w:right w:val="double" w:sz="4" w:space="0" w:color="auto"/>
            </w:tcBorders>
            <w:shd w:val="clear" w:color="auto" w:fill="auto"/>
          </w:tcPr>
          <w:p w:rsidR="0019180C" w:rsidRDefault="0019180C">
            <w:pPr>
              <w:pStyle w:val="Header"/>
              <w:tabs>
                <w:tab w:val="clear" w:pos="4320"/>
                <w:tab w:val="clear" w:pos="8640"/>
              </w:tabs>
              <w:spacing w:before="20" w:after="20"/>
              <w:jc w:val="center"/>
              <w:rPr>
                <w:b/>
                <w:bCs/>
              </w:rPr>
            </w:pPr>
            <w:r>
              <w:rPr>
                <w:b/>
                <w:bCs/>
              </w:rPr>
              <w:t>VOC</w:t>
            </w:r>
          </w:p>
        </w:tc>
      </w:tr>
      <w:tr w:rsidR="0019180C">
        <w:tblPrEx>
          <w:tblBorders>
            <w:top w:val="double" w:sz="4" w:space="0" w:color="auto"/>
            <w:left w:val="double" w:sz="4" w:space="0" w:color="auto"/>
            <w:bottom w:val="double" w:sz="4" w:space="0" w:color="auto"/>
            <w:right w:val="double" w:sz="4" w:space="0" w:color="auto"/>
          </w:tblBorders>
        </w:tblPrEx>
        <w:trPr>
          <w:cantSplit/>
        </w:trPr>
        <w:tc>
          <w:tcPr>
            <w:tcW w:w="1800" w:type="dxa"/>
          </w:tcPr>
          <w:p w:rsidR="0019180C" w:rsidRDefault="0019180C">
            <w:pPr>
              <w:suppressAutoHyphens/>
              <w:jc w:val="both"/>
              <w:rPr>
                <w:color w:val="0000FF"/>
                <w:spacing w:val="-3"/>
              </w:rPr>
            </w:pPr>
            <w:r>
              <w:rPr>
                <w:color w:val="0000FF"/>
                <w:spacing w:val="-3"/>
              </w:rPr>
              <w:t>C-xxxx-x-x</w:t>
            </w:r>
          </w:p>
        </w:tc>
        <w:tc>
          <w:tcPr>
            <w:tcW w:w="1260" w:type="dxa"/>
          </w:tcPr>
          <w:p w:rsidR="0019180C" w:rsidRDefault="0019180C">
            <w:pPr>
              <w:tabs>
                <w:tab w:val="left" w:pos="-720"/>
              </w:tabs>
              <w:suppressAutoHyphens/>
              <w:ind w:left="-108" w:right="-124"/>
              <w:jc w:val="center"/>
              <w:rPr>
                <w:color w:val="0000FF"/>
              </w:rPr>
            </w:pPr>
            <w:r>
              <w:rPr>
                <w:color w:val="0000FF"/>
              </w:rPr>
              <w:t>0</w:t>
            </w:r>
          </w:p>
        </w:tc>
        <w:tc>
          <w:tcPr>
            <w:tcW w:w="1260" w:type="dxa"/>
          </w:tcPr>
          <w:p w:rsidR="0019180C" w:rsidRDefault="0019180C">
            <w:pPr>
              <w:tabs>
                <w:tab w:val="left" w:pos="-720"/>
              </w:tabs>
              <w:suppressAutoHyphens/>
              <w:ind w:left="-108" w:right="-124"/>
              <w:jc w:val="center"/>
              <w:rPr>
                <w:color w:val="0000FF"/>
              </w:rPr>
            </w:pPr>
            <w:r>
              <w:rPr>
                <w:color w:val="0000FF"/>
              </w:rPr>
              <w:t>0</w:t>
            </w:r>
          </w:p>
        </w:tc>
        <w:tc>
          <w:tcPr>
            <w:tcW w:w="1350" w:type="dxa"/>
          </w:tcPr>
          <w:p w:rsidR="0019180C" w:rsidRDefault="0019180C">
            <w:pPr>
              <w:tabs>
                <w:tab w:val="left" w:pos="-720"/>
              </w:tabs>
              <w:suppressAutoHyphens/>
              <w:ind w:left="-108" w:right="-124"/>
              <w:jc w:val="center"/>
              <w:rPr>
                <w:color w:val="0000FF"/>
              </w:rPr>
            </w:pPr>
            <w:r>
              <w:rPr>
                <w:color w:val="0000FF"/>
              </w:rPr>
              <w:t>0</w:t>
            </w:r>
          </w:p>
        </w:tc>
        <w:tc>
          <w:tcPr>
            <w:tcW w:w="1260" w:type="dxa"/>
          </w:tcPr>
          <w:p w:rsidR="0019180C" w:rsidRDefault="0019180C">
            <w:pPr>
              <w:tabs>
                <w:tab w:val="left" w:pos="-720"/>
              </w:tabs>
              <w:suppressAutoHyphens/>
              <w:ind w:left="-108" w:right="-124"/>
              <w:jc w:val="center"/>
              <w:rPr>
                <w:color w:val="0000FF"/>
              </w:rPr>
            </w:pPr>
            <w:r>
              <w:rPr>
                <w:color w:val="0000FF"/>
              </w:rPr>
              <w:t>0</w:t>
            </w:r>
          </w:p>
        </w:tc>
        <w:tc>
          <w:tcPr>
            <w:tcW w:w="1260" w:type="dxa"/>
          </w:tcPr>
          <w:p w:rsidR="0019180C" w:rsidRDefault="0019180C">
            <w:pPr>
              <w:tabs>
                <w:tab w:val="left" w:pos="-720"/>
              </w:tabs>
              <w:suppressAutoHyphens/>
              <w:ind w:left="-108" w:right="-124"/>
              <w:jc w:val="center"/>
              <w:rPr>
                <w:color w:val="0000FF"/>
              </w:rPr>
            </w:pPr>
            <w:r>
              <w:rPr>
                <w:color w:val="0000FF"/>
              </w:rPr>
              <w:t>0</w:t>
            </w:r>
          </w:p>
        </w:tc>
      </w:tr>
      <w:tr w:rsidR="0019180C">
        <w:tblPrEx>
          <w:tblBorders>
            <w:top w:val="double" w:sz="4" w:space="0" w:color="auto"/>
            <w:left w:val="double" w:sz="4" w:space="0" w:color="auto"/>
            <w:bottom w:val="double" w:sz="4" w:space="0" w:color="auto"/>
            <w:right w:val="double" w:sz="4" w:space="0" w:color="auto"/>
          </w:tblBorders>
        </w:tblPrEx>
        <w:trPr>
          <w:cantSplit/>
        </w:trPr>
        <w:tc>
          <w:tcPr>
            <w:tcW w:w="1800" w:type="dxa"/>
            <w:tcBorders>
              <w:top w:val="single" w:sz="18" w:space="0" w:color="auto"/>
              <w:bottom w:val="double" w:sz="4" w:space="0" w:color="auto"/>
            </w:tcBorders>
          </w:tcPr>
          <w:p w:rsidR="0019180C" w:rsidRDefault="0019180C">
            <w:pPr>
              <w:tabs>
                <w:tab w:val="left" w:pos="-720"/>
              </w:tabs>
              <w:suppressAutoHyphens/>
              <w:ind w:right="-360"/>
              <w:jc w:val="center"/>
            </w:pPr>
            <w:r>
              <w:t>Total</w:t>
            </w:r>
          </w:p>
        </w:tc>
        <w:tc>
          <w:tcPr>
            <w:tcW w:w="1260" w:type="dxa"/>
            <w:tcBorders>
              <w:top w:val="single" w:sz="18" w:space="0" w:color="auto"/>
              <w:bottom w:val="double" w:sz="4" w:space="0" w:color="auto"/>
            </w:tcBorders>
          </w:tcPr>
          <w:p w:rsidR="0019180C" w:rsidRDefault="0019180C">
            <w:pPr>
              <w:tabs>
                <w:tab w:val="left" w:pos="-720"/>
              </w:tabs>
              <w:suppressAutoHyphens/>
              <w:ind w:left="-108" w:right="-124"/>
              <w:jc w:val="center"/>
              <w:rPr>
                <w:color w:val="0000FF"/>
              </w:rPr>
            </w:pPr>
            <w:r>
              <w:rPr>
                <w:color w:val="0000FF"/>
              </w:rPr>
              <w:t>0</w:t>
            </w:r>
          </w:p>
        </w:tc>
        <w:tc>
          <w:tcPr>
            <w:tcW w:w="1260" w:type="dxa"/>
            <w:tcBorders>
              <w:top w:val="single" w:sz="18" w:space="0" w:color="auto"/>
              <w:bottom w:val="double" w:sz="4" w:space="0" w:color="auto"/>
            </w:tcBorders>
          </w:tcPr>
          <w:p w:rsidR="0019180C" w:rsidRDefault="0019180C">
            <w:pPr>
              <w:tabs>
                <w:tab w:val="left" w:pos="-720"/>
              </w:tabs>
              <w:suppressAutoHyphens/>
              <w:ind w:left="-108" w:right="-124"/>
              <w:jc w:val="center"/>
              <w:rPr>
                <w:color w:val="0000FF"/>
              </w:rPr>
            </w:pPr>
            <w:r>
              <w:rPr>
                <w:color w:val="0000FF"/>
              </w:rPr>
              <w:t>0</w:t>
            </w:r>
          </w:p>
        </w:tc>
        <w:tc>
          <w:tcPr>
            <w:tcW w:w="1350" w:type="dxa"/>
            <w:tcBorders>
              <w:top w:val="single" w:sz="18" w:space="0" w:color="auto"/>
              <w:bottom w:val="double" w:sz="4" w:space="0" w:color="auto"/>
            </w:tcBorders>
          </w:tcPr>
          <w:p w:rsidR="0019180C" w:rsidRDefault="0019180C">
            <w:pPr>
              <w:tabs>
                <w:tab w:val="left" w:pos="-720"/>
              </w:tabs>
              <w:suppressAutoHyphens/>
              <w:ind w:left="-108" w:right="-124"/>
              <w:jc w:val="center"/>
              <w:rPr>
                <w:color w:val="0000FF"/>
              </w:rPr>
            </w:pPr>
            <w:r>
              <w:rPr>
                <w:color w:val="0000FF"/>
              </w:rPr>
              <w:t>0</w:t>
            </w:r>
          </w:p>
        </w:tc>
        <w:tc>
          <w:tcPr>
            <w:tcW w:w="1260" w:type="dxa"/>
            <w:tcBorders>
              <w:top w:val="single" w:sz="18" w:space="0" w:color="auto"/>
              <w:bottom w:val="double" w:sz="4" w:space="0" w:color="auto"/>
            </w:tcBorders>
          </w:tcPr>
          <w:p w:rsidR="0019180C" w:rsidRDefault="0019180C">
            <w:pPr>
              <w:tabs>
                <w:tab w:val="left" w:pos="-720"/>
              </w:tabs>
              <w:suppressAutoHyphens/>
              <w:ind w:left="-108" w:right="-124"/>
              <w:jc w:val="center"/>
              <w:rPr>
                <w:color w:val="0000FF"/>
              </w:rPr>
            </w:pPr>
            <w:r>
              <w:rPr>
                <w:color w:val="0000FF"/>
              </w:rPr>
              <w:t>0</w:t>
            </w:r>
          </w:p>
        </w:tc>
        <w:tc>
          <w:tcPr>
            <w:tcW w:w="1260" w:type="dxa"/>
            <w:tcBorders>
              <w:top w:val="single" w:sz="18" w:space="0" w:color="auto"/>
              <w:bottom w:val="double" w:sz="4" w:space="0" w:color="auto"/>
            </w:tcBorders>
          </w:tcPr>
          <w:p w:rsidR="0019180C" w:rsidRDefault="0019180C">
            <w:pPr>
              <w:tabs>
                <w:tab w:val="left" w:pos="-720"/>
              </w:tabs>
              <w:suppressAutoHyphens/>
              <w:ind w:left="-108" w:right="-124"/>
              <w:jc w:val="center"/>
              <w:rPr>
                <w:color w:val="0000FF"/>
              </w:rPr>
            </w:pPr>
            <w:r>
              <w:rPr>
                <w:color w:val="0000FF"/>
              </w:rPr>
              <w:t>0</w:t>
            </w:r>
          </w:p>
        </w:tc>
      </w:tr>
    </w:tbl>
    <w:p w:rsidR="0019180C" w:rsidRDefault="0019180C"/>
    <w:p w:rsidR="0019180C" w:rsidRDefault="0019180C">
      <w:pPr>
        <w:pStyle w:val="Heading3"/>
      </w:pPr>
      <w:r>
        <w:t>Major Source Determination</w:t>
      </w:r>
    </w:p>
    <w:p w:rsidR="0019180C" w:rsidRDefault="0019180C">
      <w:pPr>
        <w:suppressAutoHyphens/>
        <w:jc w:val="both"/>
        <w:rPr>
          <w:b/>
          <w:spacing w:val="-3"/>
        </w:rPr>
      </w:pPr>
    </w:p>
    <w:p w:rsidR="0019180C" w:rsidRDefault="0019180C">
      <w:pPr>
        <w:pStyle w:val="BodyTextIndent2"/>
        <w:ind w:left="720"/>
        <w:rPr>
          <w:bCs/>
          <w:iCs/>
          <w:snapToGrid/>
        </w:rPr>
      </w:pPr>
      <w:r>
        <w:rPr>
          <w:bCs/>
          <w:iCs/>
          <w:snapToGrid/>
        </w:rPr>
        <w:t>Pursuant to Section 3.24 of District Rule 2201, a Major Source is a stationary source with post-project emissions or a Post Project Stationary Source Potential to Emit (SSPE2), equal to or exceeding one or more of the following threshold values.  However, Section 3.24.2 states, “for the purposes of determining major source status, the SSPE2 shall not include the quantity of emission reduction credits (ERC) which have been banked since September 19, 1991 for Actual Emissions Reductions that have occurred at the source, and which have not been used on-site.”</w:t>
      </w:r>
    </w:p>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both"/>
      </w:pPr>
    </w:p>
    <w:tbl>
      <w:tblPr>
        <w:tblW w:w="8640" w:type="dxa"/>
        <w:tblInd w:w="1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80"/>
        <w:gridCol w:w="1152"/>
        <w:gridCol w:w="1152"/>
        <w:gridCol w:w="1152"/>
        <w:gridCol w:w="1152"/>
        <w:gridCol w:w="1152"/>
      </w:tblGrid>
      <w:tr w:rsidR="0019180C" w:rsidTr="00B031E6">
        <w:trPr>
          <w:cantSplit/>
          <w:trHeight w:val="392"/>
        </w:trPr>
        <w:tc>
          <w:tcPr>
            <w:tcW w:w="8640" w:type="dxa"/>
            <w:gridSpan w:val="6"/>
            <w:tcBorders>
              <w:top w:val="double" w:sz="6" w:space="0" w:color="000000"/>
              <w:left w:val="double" w:sz="6" w:space="0" w:color="000000"/>
              <w:right w:val="double" w:sz="6" w:space="0" w:color="000000"/>
            </w:tcBorders>
            <w:shd w:val="clear" w:color="auto" w:fill="auto"/>
            <w:vAlign w:val="center"/>
          </w:tcPr>
          <w:p w:rsidR="0019180C" w:rsidRDefault="0019180C">
            <w:pPr>
              <w:jc w:val="center"/>
              <w:rPr>
                <w:b/>
                <w:bCs/>
              </w:rPr>
            </w:pPr>
            <w:r>
              <w:rPr>
                <w:b/>
                <w:bCs/>
              </w:rPr>
              <w:t>Major Source Determination (lb/year)</w:t>
            </w:r>
          </w:p>
        </w:tc>
      </w:tr>
      <w:tr w:rsidR="0019180C" w:rsidTr="00B031E6">
        <w:tc>
          <w:tcPr>
            <w:tcW w:w="2880" w:type="dxa"/>
            <w:tcBorders>
              <w:top w:val="double" w:sz="6" w:space="0" w:color="000000"/>
              <w:left w:val="double" w:sz="6" w:space="0" w:color="000000"/>
              <w:right w:val="double" w:sz="6" w:space="0" w:color="000000"/>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Pollutant</w:t>
            </w:r>
          </w:p>
        </w:tc>
        <w:tc>
          <w:tcPr>
            <w:tcW w:w="1152" w:type="dxa"/>
            <w:tcBorders>
              <w:top w:val="double" w:sz="6" w:space="0" w:color="000000"/>
              <w:left w:val="nil"/>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NOx</w:t>
            </w:r>
          </w:p>
        </w:tc>
        <w:tc>
          <w:tcPr>
            <w:tcW w:w="1152" w:type="dxa"/>
            <w:tcBorders>
              <w:top w:val="double" w:sz="6" w:space="0" w:color="000000"/>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SOx</w:t>
            </w:r>
          </w:p>
        </w:tc>
        <w:tc>
          <w:tcPr>
            <w:tcW w:w="1152" w:type="dxa"/>
            <w:tcBorders>
              <w:top w:val="double" w:sz="6" w:space="0" w:color="000000"/>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vertAlign w:val="subscript"/>
              </w:rPr>
            </w:pPr>
            <w:r>
              <w:rPr>
                <w:b/>
                <w:bCs/>
              </w:rPr>
              <w:t>PM</w:t>
            </w:r>
            <w:r>
              <w:rPr>
                <w:b/>
                <w:bCs/>
                <w:vertAlign w:val="subscript"/>
              </w:rPr>
              <w:t>10</w:t>
            </w:r>
          </w:p>
        </w:tc>
        <w:tc>
          <w:tcPr>
            <w:tcW w:w="1152" w:type="dxa"/>
            <w:tcBorders>
              <w:top w:val="double" w:sz="6" w:space="0" w:color="000000"/>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CO</w:t>
            </w:r>
          </w:p>
        </w:tc>
        <w:tc>
          <w:tcPr>
            <w:tcW w:w="1152" w:type="dxa"/>
            <w:tcBorders>
              <w:top w:val="double" w:sz="6" w:space="0" w:color="000000"/>
              <w:right w:val="double" w:sz="6" w:space="0" w:color="000000"/>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VOC</w:t>
            </w:r>
          </w:p>
        </w:tc>
      </w:tr>
      <w:tr w:rsidR="0019180C" w:rsidTr="00B031E6">
        <w:tc>
          <w:tcPr>
            <w:tcW w:w="2880" w:type="dxa"/>
            <w:tcBorders>
              <w:left w:val="double" w:sz="6" w:space="0" w:color="000000"/>
              <w:right w:val="double" w:sz="6" w:space="0" w:color="000000"/>
            </w:tcBorders>
            <w:shd w:val="clear" w:color="auto" w:fill="auto"/>
            <w:vAlign w:val="center"/>
          </w:tcPr>
          <w:p w:rsidR="0019180C" w:rsidRDefault="0019180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rPr>
                <w:rFonts w:ascii="Arial" w:hAnsi="Arial"/>
              </w:rPr>
            </w:pPr>
            <w:r>
              <w:rPr>
                <w:rFonts w:ascii="Arial" w:hAnsi="Arial"/>
              </w:rPr>
              <w:t>SSPE2 (lb/yr)</w:t>
            </w:r>
          </w:p>
        </w:tc>
        <w:tc>
          <w:tcPr>
            <w:tcW w:w="1152" w:type="dxa"/>
            <w:tcBorders>
              <w:left w:val="nil"/>
            </w:tcBorders>
            <w:shd w:val="clear" w:color="auto" w:fill="auto"/>
            <w:vAlign w:val="center"/>
          </w:tcPr>
          <w:p w:rsidR="0019180C" w:rsidRDefault="0019180C">
            <w:pPr>
              <w:tabs>
                <w:tab w:val="left" w:pos="-720"/>
              </w:tabs>
              <w:suppressAutoHyphens/>
              <w:ind w:left="-108" w:right="-124"/>
              <w:jc w:val="center"/>
              <w:rPr>
                <w:color w:val="0000FF"/>
              </w:rPr>
            </w:pPr>
            <w:r>
              <w:rPr>
                <w:color w:val="0000FF"/>
              </w:rPr>
              <w:t>[   ]</w:t>
            </w:r>
          </w:p>
        </w:tc>
        <w:tc>
          <w:tcPr>
            <w:tcW w:w="1152" w:type="dxa"/>
            <w:shd w:val="clear" w:color="auto" w:fill="auto"/>
            <w:vAlign w:val="center"/>
          </w:tcPr>
          <w:p w:rsidR="0019180C" w:rsidRDefault="0019180C">
            <w:pPr>
              <w:tabs>
                <w:tab w:val="left" w:pos="-720"/>
              </w:tabs>
              <w:suppressAutoHyphens/>
              <w:ind w:left="-108" w:right="-124"/>
              <w:jc w:val="center"/>
              <w:rPr>
                <w:color w:val="0000FF"/>
              </w:rPr>
            </w:pPr>
            <w:r>
              <w:rPr>
                <w:color w:val="0000FF"/>
              </w:rPr>
              <w:t>[   ]</w:t>
            </w:r>
          </w:p>
        </w:tc>
        <w:tc>
          <w:tcPr>
            <w:tcW w:w="1152" w:type="dxa"/>
            <w:shd w:val="clear" w:color="auto" w:fill="auto"/>
            <w:vAlign w:val="center"/>
          </w:tcPr>
          <w:p w:rsidR="0019180C" w:rsidRDefault="0019180C">
            <w:pPr>
              <w:tabs>
                <w:tab w:val="left" w:pos="-720"/>
              </w:tabs>
              <w:suppressAutoHyphens/>
              <w:ind w:left="-108" w:right="-124"/>
              <w:jc w:val="center"/>
              <w:rPr>
                <w:color w:val="0000FF"/>
              </w:rPr>
            </w:pPr>
            <w:r>
              <w:rPr>
                <w:color w:val="0000FF"/>
              </w:rPr>
              <w:t>[   ]</w:t>
            </w:r>
          </w:p>
        </w:tc>
        <w:tc>
          <w:tcPr>
            <w:tcW w:w="1152" w:type="dxa"/>
            <w:shd w:val="clear" w:color="auto" w:fill="auto"/>
            <w:vAlign w:val="center"/>
          </w:tcPr>
          <w:p w:rsidR="0019180C" w:rsidRDefault="0019180C">
            <w:pPr>
              <w:tabs>
                <w:tab w:val="left" w:pos="-720"/>
              </w:tabs>
              <w:suppressAutoHyphens/>
              <w:ind w:left="-108" w:right="-124"/>
              <w:jc w:val="center"/>
              <w:rPr>
                <w:color w:val="0000FF"/>
              </w:rPr>
            </w:pPr>
            <w:r>
              <w:rPr>
                <w:color w:val="0000FF"/>
              </w:rPr>
              <w:t>[   ]</w:t>
            </w:r>
          </w:p>
        </w:tc>
        <w:tc>
          <w:tcPr>
            <w:tcW w:w="1152" w:type="dxa"/>
            <w:tcBorders>
              <w:right w:val="double" w:sz="6" w:space="0" w:color="000000"/>
            </w:tcBorders>
            <w:shd w:val="clear" w:color="auto" w:fill="auto"/>
            <w:vAlign w:val="center"/>
          </w:tcPr>
          <w:p w:rsidR="0019180C" w:rsidRDefault="0019180C">
            <w:pPr>
              <w:tabs>
                <w:tab w:val="left" w:pos="-720"/>
              </w:tabs>
              <w:suppressAutoHyphens/>
              <w:ind w:left="-108" w:right="-124"/>
              <w:jc w:val="center"/>
              <w:rPr>
                <w:color w:val="0000FF"/>
              </w:rPr>
            </w:pPr>
            <w:r>
              <w:rPr>
                <w:color w:val="0000FF"/>
              </w:rPr>
              <w:t>[   ]</w:t>
            </w:r>
          </w:p>
        </w:tc>
      </w:tr>
      <w:tr w:rsidR="0019180C" w:rsidTr="00B031E6">
        <w:tc>
          <w:tcPr>
            <w:tcW w:w="2880" w:type="dxa"/>
            <w:tcBorders>
              <w:left w:val="double" w:sz="6" w:space="0" w:color="000000"/>
              <w:right w:val="double" w:sz="6" w:space="0" w:color="000000"/>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pPr>
            <w:r>
              <w:t>Major Source Threshold</w:t>
            </w:r>
          </w:p>
        </w:tc>
        <w:tc>
          <w:tcPr>
            <w:tcW w:w="1152" w:type="dxa"/>
            <w:tcBorders>
              <w:left w:val="nil"/>
            </w:tcBorders>
            <w:shd w:val="clear" w:color="auto" w:fill="auto"/>
            <w:vAlign w:val="center"/>
          </w:tcPr>
          <w:p w:rsidR="0019180C" w:rsidRDefault="00D067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pPr>
            <w:r>
              <w:t>2</w:t>
            </w:r>
            <w:r w:rsidR="0019180C">
              <w:t>0,000</w:t>
            </w:r>
          </w:p>
        </w:tc>
        <w:tc>
          <w:tcPr>
            <w:tcW w:w="1152" w:type="dxa"/>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pPr>
            <w:r>
              <w:t>140,000</w:t>
            </w:r>
          </w:p>
        </w:tc>
        <w:tc>
          <w:tcPr>
            <w:tcW w:w="1152" w:type="dxa"/>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pPr>
            <w:r>
              <w:t>140,000</w:t>
            </w:r>
          </w:p>
        </w:tc>
        <w:tc>
          <w:tcPr>
            <w:tcW w:w="1152" w:type="dxa"/>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pPr>
            <w:r>
              <w:t>200,000</w:t>
            </w:r>
          </w:p>
        </w:tc>
        <w:tc>
          <w:tcPr>
            <w:tcW w:w="1152" w:type="dxa"/>
            <w:tcBorders>
              <w:right w:val="double" w:sz="6" w:space="0" w:color="000000"/>
            </w:tcBorders>
            <w:shd w:val="clear" w:color="auto" w:fill="auto"/>
            <w:vAlign w:val="center"/>
          </w:tcPr>
          <w:p w:rsidR="0019180C" w:rsidRDefault="00D067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pPr>
            <w:r>
              <w:t>2</w:t>
            </w:r>
            <w:r w:rsidR="0019180C">
              <w:t>0,000</w:t>
            </w:r>
          </w:p>
        </w:tc>
      </w:tr>
      <w:tr w:rsidR="0019180C" w:rsidTr="00B031E6">
        <w:tc>
          <w:tcPr>
            <w:tcW w:w="2880" w:type="dxa"/>
            <w:tcBorders>
              <w:left w:val="double" w:sz="6" w:space="0" w:color="000000"/>
              <w:bottom w:val="double" w:sz="6" w:space="0" w:color="000000"/>
              <w:right w:val="double" w:sz="6" w:space="0" w:color="000000"/>
            </w:tcBorders>
            <w:shd w:val="clear" w:color="auto" w:fill="auto"/>
            <w:vAlign w:val="center"/>
          </w:tcPr>
          <w:p w:rsidR="0019180C" w:rsidRDefault="0019180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rPr>
                <w:rFonts w:ascii="Arial" w:hAnsi="Arial"/>
              </w:rPr>
            </w:pPr>
            <w:r>
              <w:rPr>
                <w:rFonts w:ascii="Arial" w:hAnsi="Arial"/>
              </w:rPr>
              <w:t>Major Source?</w:t>
            </w:r>
          </w:p>
        </w:tc>
        <w:tc>
          <w:tcPr>
            <w:tcW w:w="1152" w:type="dxa"/>
            <w:tcBorders>
              <w:left w:val="nil"/>
              <w:bottom w:val="double" w:sz="6" w:space="0" w:color="000000"/>
            </w:tcBorders>
            <w:shd w:val="clear" w:color="auto" w:fill="auto"/>
            <w:vAlign w:val="center"/>
          </w:tcPr>
          <w:p w:rsidR="0019180C" w:rsidRDefault="0019180C">
            <w:pPr>
              <w:suppressAutoHyphens/>
              <w:jc w:val="center"/>
              <w:rPr>
                <w:spacing w:val="-3"/>
              </w:rPr>
            </w:pPr>
            <w:r>
              <w:rPr>
                <w:color w:val="0000FF"/>
                <w:spacing w:val="-3"/>
              </w:rPr>
              <w:t>[Yes or No]</w:t>
            </w:r>
          </w:p>
        </w:tc>
        <w:tc>
          <w:tcPr>
            <w:tcW w:w="1152" w:type="dxa"/>
            <w:tcBorders>
              <w:bottom w:val="double" w:sz="6" w:space="0" w:color="000000"/>
            </w:tcBorders>
            <w:shd w:val="clear" w:color="auto" w:fill="auto"/>
            <w:vAlign w:val="center"/>
          </w:tcPr>
          <w:p w:rsidR="0019180C" w:rsidRDefault="0019180C">
            <w:pPr>
              <w:suppressAutoHyphens/>
              <w:jc w:val="center"/>
              <w:rPr>
                <w:spacing w:val="-3"/>
              </w:rPr>
            </w:pPr>
            <w:r>
              <w:rPr>
                <w:color w:val="0000FF"/>
                <w:spacing w:val="-3"/>
              </w:rPr>
              <w:t>[Yes or No]</w:t>
            </w:r>
          </w:p>
        </w:tc>
        <w:tc>
          <w:tcPr>
            <w:tcW w:w="1152" w:type="dxa"/>
            <w:tcBorders>
              <w:bottom w:val="double" w:sz="6" w:space="0" w:color="000000"/>
            </w:tcBorders>
            <w:shd w:val="clear" w:color="auto" w:fill="auto"/>
            <w:vAlign w:val="center"/>
          </w:tcPr>
          <w:p w:rsidR="0019180C" w:rsidRDefault="0019180C">
            <w:pPr>
              <w:suppressAutoHyphens/>
              <w:jc w:val="center"/>
              <w:rPr>
                <w:spacing w:val="-3"/>
              </w:rPr>
            </w:pPr>
            <w:r>
              <w:rPr>
                <w:color w:val="0000FF"/>
                <w:spacing w:val="-3"/>
              </w:rPr>
              <w:t>[Yes or No]</w:t>
            </w:r>
          </w:p>
        </w:tc>
        <w:tc>
          <w:tcPr>
            <w:tcW w:w="1152" w:type="dxa"/>
            <w:tcBorders>
              <w:bottom w:val="double" w:sz="6" w:space="0" w:color="000000"/>
            </w:tcBorders>
            <w:shd w:val="clear" w:color="auto" w:fill="auto"/>
            <w:vAlign w:val="center"/>
          </w:tcPr>
          <w:p w:rsidR="0019180C" w:rsidRDefault="0019180C">
            <w:pPr>
              <w:suppressAutoHyphens/>
              <w:jc w:val="center"/>
              <w:rPr>
                <w:spacing w:val="-3"/>
              </w:rPr>
            </w:pPr>
            <w:r>
              <w:rPr>
                <w:color w:val="0000FF"/>
                <w:spacing w:val="-3"/>
              </w:rPr>
              <w:t>[Yes or No]</w:t>
            </w:r>
          </w:p>
        </w:tc>
        <w:tc>
          <w:tcPr>
            <w:tcW w:w="1152" w:type="dxa"/>
            <w:tcBorders>
              <w:bottom w:val="double" w:sz="6" w:space="0" w:color="000000"/>
              <w:right w:val="double" w:sz="6" w:space="0" w:color="000000"/>
            </w:tcBorders>
            <w:shd w:val="clear" w:color="auto" w:fill="auto"/>
            <w:vAlign w:val="center"/>
          </w:tcPr>
          <w:p w:rsidR="0019180C" w:rsidRDefault="0019180C">
            <w:pPr>
              <w:suppressAutoHyphens/>
              <w:jc w:val="center"/>
              <w:rPr>
                <w:spacing w:val="-3"/>
              </w:rPr>
            </w:pPr>
            <w:r>
              <w:rPr>
                <w:color w:val="0000FF"/>
                <w:spacing w:val="-3"/>
              </w:rPr>
              <w:t>[Yes or No]</w:t>
            </w:r>
          </w:p>
        </w:tc>
      </w:tr>
    </w:tbl>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ind w:left="1080"/>
        <w:jc w:val="both"/>
      </w:pPr>
    </w:p>
    <w:p w:rsidR="0019180C" w:rsidRDefault="0019180C">
      <w:pPr>
        <w:pStyle w:val="BodyTextIndent3"/>
        <w:tabs>
          <w:tab w:val="left" w:pos="450"/>
        </w:tabs>
        <w:ind w:left="720"/>
        <w:rPr>
          <w:spacing w:val="0"/>
          <w:szCs w:val="24"/>
        </w:rPr>
      </w:pPr>
      <w:r>
        <w:rPr>
          <w:spacing w:val="0"/>
          <w:szCs w:val="24"/>
        </w:rPr>
        <w:t xml:space="preserve">Since </w:t>
      </w:r>
      <w:r>
        <w:rPr>
          <w:color w:val="0000FF"/>
          <w:spacing w:val="0"/>
          <w:szCs w:val="24"/>
        </w:rPr>
        <w:t>none</w:t>
      </w:r>
      <w:r>
        <w:rPr>
          <w:spacing w:val="0"/>
          <w:szCs w:val="24"/>
        </w:rPr>
        <w:t xml:space="preserve"> of the threshold values in the above table are exceeded, this facility </w:t>
      </w:r>
      <w:r>
        <w:rPr>
          <w:color w:val="0000FF"/>
          <w:spacing w:val="0"/>
          <w:szCs w:val="24"/>
        </w:rPr>
        <w:t>is not</w:t>
      </w:r>
      <w:r>
        <w:rPr>
          <w:spacing w:val="0"/>
          <w:szCs w:val="24"/>
        </w:rPr>
        <w:t xml:space="preserve"> a Major Source.</w:t>
      </w:r>
    </w:p>
    <w:p w:rsidR="0019180C" w:rsidRDefault="0019180C">
      <w:pPr>
        <w:pStyle w:val="BodyTextIndent3"/>
        <w:tabs>
          <w:tab w:val="left" w:pos="450"/>
        </w:tabs>
        <w:ind w:left="1080"/>
        <w:rPr>
          <w:spacing w:val="0"/>
          <w:szCs w:val="24"/>
        </w:rPr>
      </w:pPr>
    </w:p>
    <w:p w:rsidR="0019180C" w:rsidRDefault="0019180C">
      <w:pPr>
        <w:suppressAutoHyphens/>
        <w:jc w:val="both"/>
        <w:rPr>
          <w:bCs/>
          <w:color w:val="FF0000"/>
          <w:spacing w:val="-3"/>
        </w:rPr>
      </w:pPr>
      <w:r>
        <w:rPr>
          <w:bCs/>
          <w:color w:val="FF0000"/>
          <w:spacing w:val="-3"/>
        </w:rPr>
        <w:t>Or</w:t>
      </w:r>
    </w:p>
    <w:p w:rsidR="0019180C" w:rsidRDefault="0019180C">
      <w:pPr>
        <w:suppressAutoHyphens/>
        <w:ind w:left="1080"/>
        <w:jc w:val="both"/>
        <w:rPr>
          <w:szCs w:val="24"/>
        </w:rPr>
      </w:pPr>
    </w:p>
    <w:p w:rsidR="0019180C" w:rsidRDefault="0019180C">
      <w:pPr>
        <w:suppressAutoHyphens/>
        <w:ind w:left="720"/>
        <w:jc w:val="both"/>
        <w:rPr>
          <w:i/>
          <w:iCs/>
          <w:color w:val="FF0000"/>
        </w:rPr>
      </w:pPr>
      <w:r>
        <w:rPr>
          <w:szCs w:val="24"/>
        </w:rPr>
        <w:t xml:space="preserve">Since </w:t>
      </w:r>
      <w:r>
        <w:rPr>
          <w:color w:val="0000FF"/>
          <w:szCs w:val="24"/>
        </w:rPr>
        <w:t>the annual VOC emissions are above the major source</w:t>
      </w:r>
      <w:r>
        <w:rPr>
          <w:szCs w:val="24"/>
        </w:rPr>
        <w:t xml:space="preserve"> threshold values in the above table, this facility </w:t>
      </w:r>
      <w:r>
        <w:rPr>
          <w:color w:val="0000FF"/>
          <w:szCs w:val="24"/>
        </w:rPr>
        <w:t>is now</w:t>
      </w:r>
      <w:r>
        <w:rPr>
          <w:szCs w:val="24"/>
        </w:rPr>
        <w:t xml:space="preserve"> a Major Source for VOC.  </w:t>
      </w:r>
      <w:r>
        <w:rPr>
          <w:i/>
          <w:iCs/>
          <w:color w:val="FF0000"/>
        </w:rPr>
        <w:t>(If this is true, this project is NO LONGER A GEAR. Check with your supervisor before further processing.)</w:t>
      </w:r>
    </w:p>
    <w:p w:rsidR="0019180C" w:rsidRDefault="0019180C">
      <w:pPr>
        <w:suppressAutoHyphens/>
        <w:ind w:left="1080"/>
        <w:jc w:val="both"/>
        <w:rPr>
          <w:i/>
          <w:iCs/>
          <w:color w:val="FF0000"/>
        </w:rPr>
      </w:pPr>
    </w:p>
    <w:p w:rsidR="00771B36" w:rsidRPr="00066C21" w:rsidRDefault="00771B36" w:rsidP="00771B36">
      <w:pPr>
        <w:autoSpaceDE w:val="0"/>
        <w:autoSpaceDN w:val="0"/>
        <w:adjustRightInd w:val="0"/>
        <w:ind w:left="720"/>
        <w:jc w:val="both"/>
        <w:rPr>
          <w:b/>
          <w:color w:val="000000"/>
          <w:u w:val="single"/>
        </w:rPr>
      </w:pPr>
      <w:r w:rsidRPr="00066C21">
        <w:rPr>
          <w:b/>
          <w:color w:val="000000"/>
          <w:u w:val="single"/>
        </w:rPr>
        <w:t>Rule 2410 Major Source Determination:</w:t>
      </w:r>
    </w:p>
    <w:p w:rsidR="00771B36" w:rsidRPr="00066C21" w:rsidRDefault="00771B36" w:rsidP="00771B36">
      <w:pPr>
        <w:ind w:left="1440" w:hanging="720"/>
        <w:jc w:val="both"/>
        <w:rPr>
          <w:bCs/>
          <w:iCs/>
        </w:rPr>
      </w:pPr>
    </w:p>
    <w:p w:rsidR="00771B36" w:rsidRPr="00066C21" w:rsidRDefault="00771B36" w:rsidP="00771B36">
      <w:pPr>
        <w:suppressAutoHyphens/>
        <w:ind w:left="720"/>
        <w:jc w:val="both"/>
        <w:rPr>
          <w:rFonts w:cs="Arial"/>
          <w:noProof/>
        </w:rPr>
      </w:pPr>
      <w:r w:rsidRPr="00066C21">
        <w:rPr>
          <w:rFonts w:cs="Arial"/>
          <w:noProof/>
        </w:rPr>
        <w:lastRenderedPageBreak/>
        <w:t xml:space="preserve">The facility or the equipment evaluated under this project is not listed as one of the categories specified in </w:t>
      </w:r>
      <w:r w:rsidRPr="00066C21">
        <w:rPr>
          <w:bCs/>
          <w:iCs/>
        </w:rPr>
        <w:t>40 CFR 52.21 (b)(1)(i).  Therefore the following PSD Major Source thresholds are applicable.</w:t>
      </w:r>
    </w:p>
    <w:p w:rsidR="00771B36" w:rsidRPr="00771B36" w:rsidRDefault="00771B36" w:rsidP="00771B36">
      <w:pPr>
        <w:suppressAutoHyphens/>
        <w:ind w:left="720"/>
        <w:jc w:val="both"/>
        <w:rPr>
          <w:rFonts w:cs="Arial"/>
          <w:noProof/>
          <w:color w:val="000000"/>
        </w:rPr>
      </w:pPr>
    </w:p>
    <w:tbl>
      <w:tblPr>
        <w:tblW w:w="9630" w:type="dxa"/>
        <w:tblInd w:w="9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90"/>
        <w:gridCol w:w="810"/>
        <w:gridCol w:w="810"/>
        <w:gridCol w:w="827"/>
        <w:gridCol w:w="703"/>
        <w:gridCol w:w="720"/>
        <w:gridCol w:w="810"/>
        <w:gridCol w:w="1260"/>
      </w:tblGrid>
      <w:tr w:rsidR="00771B36" w:rsidRPr="00066C21" w:rsidTr="00B031E6">
        <w:trPr>
          <w:trHeight w:val="618"/>
        </w:trPr>
        <w:tc>
          <w:tcPr>
            <w:tcW w:w="9630" w:type="dxa"/>
            <w:gridSpan w:val="8"/>
            <w:tcBorders>
              <w:top w:val="double" w:sz="4" w:space="0" w:color="auto"/>
              <w:bottom w:val="double" w:sz="4" w:space="0" w:color="auto"/>
            </w:tcBorders>
            <w:shd w:val="clear" w:color="auto" w:fill="auto"/>
            <w:vAlign w:val="center"/>
          </w:tcPr>
          <w:p w:rsidR="00771B36" w:rsidRPr="00B40CD6" w:rsidRDefault="00771B36" w:rsidP="00B40CD6">
            <w:pPr>
              <w:jc w:val="center"/>
              <w:rPr>
                <w:b/>
                <w:sz w:val="22"/>
                <w:szCs w:val="22"/>
              </w:rPr>
            </w:pPr>
            <w:r w:rsidRPr="00B40CD6">
              <w:rPr>
                <w:b/>
                <w:sz w:val="22"/>
                <w:szCs w:val="22"/>
              </w:rPr>
              <w:t>PSD Major Source Determination</w:t>
            </w:r>
          </w:p>
          <w:p w:rsidR="00771B36" w:rsidRPr="00B40CD6" w:rsidRDefault="00771B36" w:rsidP="00B40CD6">
            <w:pPr>
              <w:jc w:val="center"/>
              <w:rPr>
                <w:rFonts w:cs="Arial"/>
                <w:noProof/>
                <w:color w:val="000000"/>
                <w:sz w:val="22"/>
                <w:szCs w:val="22"/>
              </w:rPr>
            </w:pPr>
            <w:r w:rsidRPr="00B40CD6">
              <w:rPr>
                <w:b/>
                <w:sz w:val="22"/>
                <w:szCs w:val="22"/>
              </w:rPr>
              <w:t>(tons/year)</w:t>
            </w:r>
          </w:p>
        </w:tc>
      </w:tr>
      <w:tr w:rsidR="00771B36" w:rsidRPr="00066C21" w:rsidTr="00B031E6">
        <w:trPr>
          <w:trHeight w:val="447"/>
        </w:trPr>
        <w:tc>
          <w:tcPr>
            <w:tcW w:w="3690" w:type="dxa"/>
            <w:tcBorders>
              <w:top w:val="double" w:sz="4" w:space="0" w:color="auto"/>
              <w:bottom w:val="single" w:sz="12" w:space="0" w:color="auto"/>
            </w:tcBorders>
            <w:shd w:val="clear" w:color="auto" w:fill="auto"/>
            <w:vAlign w:val="center"/>
          </w:tcPr>
          <w:p w:rsidR="00771B36" w:rsidRPr="00B40CD6" w:rsidRDefault="00771B36" w:rsidP="00B40CD6">
            <w:pPr>
              <w:jc w:val="both"/>
              <w:rPr>
                <w:rFonts w:cs="Arial"/>
                <w:noProof/>
                <w:color w:val="000000"/>
                <w:sz w:val="22"/>
                <w:szCs w:val="22"/>
              </w:rPr>
            </w:pPr>
          </w:p>
        </w:tc>
        <w:tc>
          <w:tcPr>
            <w:tcW w:w="810" w:type="dxa"/>
            <w:tcBorders>
              <w:top w:val="double" w:sz="4" w:space="0" w:color="auto"/>
              <w:bottom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NO2</w:t>
            </w:r>
          </w:p>
        </w:tc>
        <w:tc>
          <w:tcPr>
            <w:tcW w:w="810" w:type="dxa"/>
            <w:tcBorders>
              <w:top w:val="double" w:sz="4" w:space="0" w:color="auto"/>
              <w:bottom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VOC</w:t>
            </w:r>
          </w:p>
        </w:tc>
        <w:tc>
          <w:tcPr>
            <w:tcW w:w="827" w:type="dxa"/>
            <w:tcBorders>
              <w:top w:val="double" w:sz="4" w:space="0" w:color="auto"/>
              <w:bottom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SO2</w:t>
            </w:r>
          </w:p>
        </w:tc>
        <w:tc>
          <w:tcPr>
            <w:tcW w:w="703" w:type="dxa"/>
            <w:tcBorders>
              <w:top w:val="double" w:sz="4" w:space="0" w:color="auto"/>
              <w:bottom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CO</w:t>
            </w:r>
          </w:p>
        </w:tc>
        <w:tc>
          <w:tcPr>
            <w:tcW w:w="720" w:type="dxa"/>
            <w:tcBorders>
              <w:top w:val="double" w:sz="4" w:space="0" w:color="auto"/>
              <w:bottom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PM</w:t>
            </w:r>
          </w:p>
        </w:tc>
        <w:tc>
          <w:tcPr>
            <w:tcW w:w="810" w:type="dxa"/>
            <w:tcBorders>
              <w:top w:val="double" w:sz="4" w:space="0" w:color="auto"/>
              <w:bottom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PM10</w:t>
            </w:r>
          </w:p>
        </w:tc>
        <w:tc>
          <w:tcPr>
            <w:tcW w:w="1260" w:type="dxa"/>
            <w:tcBorders>
              <w:top w:val="double" w:sz="4" w:space="0" w:color="auto"/>
              <w:bottom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CO2e</w:t>
            </w:r>
          </w:p>
        </w:tc>
      </w:tr>
      <w:tr w:rsidR="00771B36" w:rsidRPr="00066C21" w:rsidTr="00B40CD6">
        <w:trPr>
          <w:trHeight w:val="609"/>
        </w:trPr>
        <w:tc>
          <w:tcPr>
            <w:tcW w:w="3690" w:type="dxa"/>
            <w:tcBorders>
              <w:top w:val="single" w:sz="12" w:space="0" w:color="auto"/>
              <w:bottom w:val="single" w:sz="4" w:space="0" w:color="auto"/>
            </w:tcBorders>
            <w:shd w:val="clear" w:color="auto" w:fill="auto"/>
            <w:vAlign w:val="center"/>
          </w:tcPr>
          <w:p w:rsidR="00771B36" w:rsidRPr="00B40CD6" w:rsidRDefault="00771B36" w:rsidP="00B40CD6">
            <w:pPr>
              <w:rPr>
                <w:rFonts w:cs="Arial"/>
                <w:noProof/>
                <w:color w:val="000000"/>
                <w:sz w:val="22"/>
                <w:szCs w:val="22"/>
              </w:rPr>
            </w:pPr>
            <w:r w:rsidRPr="00B40CD6">
              <w:rPr>
                <w:rFonts w:cs="Arial"/>
                <w:noProof/>
                <w:color w:val="000000"/>
                <w:sz w:val="22"/>
                <w:szCs w:val="22"/>
              </w:rPr>
              <w:t>Estimated Facility PE before Project Increase</w:t>
            </w:r>
          </w:p>
        </w:tc>
        <w:tc>
          <w:tcPr>
            <w:tcW w:w="810" w:type="dxa"/>
            <w:tcBorders>
              <w:top w:val="single" w:sz="12" w:space="0" w:color="auto"/>
              <w:bottom w:val="single" w:sz="4"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0</w:t>
            </w:r>
          </w:p>
        </w:tc>
        <w:tc>
          <w:tcPr>
            <w:tcW w:w="810" w:type="dxa"/>
            <w:tcBorders>
              <w:top w:val="single" w:sz="12" w:space="0" w:color="auto"/>
              <w:bottom w:val="single" w:sz="4"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0</w:t>
            </w:r>
          </w:p>
        </w:tc>
        <w:tc>
          <w:tcPr>
            <w:tcW w:w="827" w:type="dxa"/>
            <w:tcBorders>
              <w:top w:val="single" w:sz="12" w:space="0" w:color="auto"/>
              <w:bottom w:val="single" w:sz="4"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0</w:t>
            </w:r>
          </w:p>
        </w:tc>
        <w:tc>
          <w:tcPr>
            <w:tcW w:w="703" w:type="dxa"/>
            <w:tcBorders>
              <w:top w:val="single" w:sz="12" w:space="0" w:color="auto"/>
              <w:bottom w:val="single" w:sz="4"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0</w:t>
            </w:r>
          </w:p>
        </w:tc>
        <w:tc>
          <w:tcPr>
            <w:tcW w:w="720" w:type="dxa"/>
            <w:tcBorders>
              <w:top w:val="single" w:sz="12" w:space="0" w:color="auto"/>
              <w:bottom w:val="single" w:sz="4"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0</w:t>
            </w:r>
          </w:p>
        </w:tc>
        <w:tc>
          <w:tcPr>
            <w:tcW w:w="810" w:type="dxa"/>
            <w:tcBorders>
              <w:top w:val="single" w:sz="12" w:space="0" w:color="auto"/>
              <w:bottom w:val="single" w:sz="4"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0</w:t>
            </w:r>
          </w:p>
        </w:tc>
        <w:tc>
          <w:tcPr>
            <w:tcW w:w="1260" w:type="dxa"/>
            <w:tcBorders>
              <w:top w:val="single" w:sz="12" w:space="0" w:color="auto"/>
              <w:bottom w:val="single" w:sz="4"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0</w:t>
            </w:r>
          </w:p>
        </w:tc>
      </w:tr>
      <w:tr w:rsidR="00771B36" w:rsidRPr="00066C21" w:rsidTr="00B40CD6">
        <w:trPr>
          <w:trHeight w:val="359"/>
        </w:trPr>
        <w:tc>
          <w:tcPr>
            <w:tcW w:w="3690" w:type="dxa"/>
            <w:tcBorders>
              <w:top w:val="single" w:sz="4" w:space="0" w:color="auto"/>
              <w:bottom w:val="single" w:sz="12" w:space="0" w:color="auto"/>
            </w:tcBorders>
            <w:shd w:val="clear" w:color="auto" w:fill="auto"/>
            <w:vAlign w:val="center"/>
          </w:tcPr>
          <w:p w:rsidR="00771B36" w:rsidRPr="00B40CD6" w:rsidRDefault="00771B36" w:rsidP="00B40CD6">
            <w:pPr>
              <w:rPr>
                <w:rFonts w:cs="Arial"/>
                <w:noProof/>
                <w:color w:val="000000"/>
                <w:sz w:val="22"/>
                <w:szCs w:val="22"/>
              </w:rPr>
            </w:pPr>
            <w:r w:rsidRPr="00B40CD6">
              <w:rPr>
                <w:rFonts w:cs="Arial"/>
                <w:noProof/>
                <w:color w:val="000000"/>
                <w:sz w:val="22"/>
                <w:szCs w:val="22"/>
              </w:rPr>
              <w:t>PSD Major Source Thresholds</w:t>
            </w:r>
          </w:p>
        </w:tc>
        <w:tc>
          <w:tcPr>
            <w:tcW w:w="810" w:type="dxa"/>
            <w:tcBorders>
              <w:top w:val="single" w:sz="4" w:space="0" w:color="auto"/>
              <w:bottom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250</w:t>
            </w:r>
          </w:p>
        </w:tc>
        <w:tc>
          <w:tcPr>
            <w:tcW w:w="810" w:type="dxa"/>
            <w:tcBorders>
              <w:top w:val="single" w:sz="4" w:space="0" w:color="auto"/>
              <w:bottom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250</w:t>
            </w:r>
          </w:p>
        </w:tc>
        <w:tc>
          <w:tcPr>
            <w:tcW w:w="827" w:type="dxa"/>
            <w:tcBorders>
              <w:top w:val="single" w:sz="4" w:space="0" w:color="auto"/>
              <w:bottom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250</w:t>
            </w:r>
          </w:p>
        </w:tc>
        <w:tc>
          <w:tcPr>
            <w:tcW w:w="703" w:type="dxa"/>
            <w:tcBorders>
              <w:top w:val="single" w:sz="4" w:space="0" w:color="auto"/>
              <w:bottom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250</w:t>
            </w:r>
          </w:p>
        </w:tc>
        <w:tc>
          <w:tcPr>
            <w:tcW w:w="720" w:type="dxa"/>
            <w:tcBorders>
              <w:top w:val="single" w:sz="4" w:space="0" w:color="auto"/>
              <w:bottom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250</w:t>
            </w:r>
          </w:p>
        </w:tc>
        <w:tc>
          <w:tcPr>
            <w:tcW w:w="810" w:type="dxa"/>
            <w:tcBorders>
              <w:top w:val="single" w:sz="4" w:space="0" w:color="auto"/>
              <w:bottom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250</w:t>
            </w:r>
          </w:p>
        </w:tc>
        <w:tc>
          <w:tcPr>
            <w:tcW w:w="1260" w:type="dxa"/>
            <w:tcBorders>
              <w:top w:val="single" w:sz="4" w:space="0" w:color="auto"/>
              <w:bottom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100,000</w:t>
            </w:r>
          </w:p>
        </w:tc>
      </w:tr>
      <w:tr w:rsidR="00771B36" w:rsidRPr="00066C21" w:rsidTr="00B40CD6">
        <w:trPr>
          <w:trHeight w:val="456"/>
        </w:trPr>
        <w:tc>
          <w:tcPr>
            <w:tcW w:w="3690" w:type="dxa"/>
            <w:tcBorders>
              <w:top w:val="single" w:sz="12" w:space="0" w:color="auto"/>
            </w:tcBorders>
            <w:shd w:val="clear" w:color="auto" w:fill="auto"/>
            <w:vAlign w:val="center"/>
          </w:tcPr>
          <w:p w:rsidR="00771B36" w:rsidRPr="00B40CD6" w:rsidRDefault="00771B36" w:rsidP="00B40CD6">
            <w:pPr>
              <w:rPr>
                <w:rFonts w:cs="Arial"/>
                <w:noProof/>
                <w:color w:val="000000"/>
                <w:sz w:val="22"/>
                <w:szCs w:val="22"/>
              </w:rPr>
            </w:pPr>
            <w:r w:rsidRPr="00B40CD6">
              <w:rPr>
                <w:rFonts w:cs="Arial"/>
                <w:noProof/>
                <w:color w:val="000000"/>
                <w:sz w:val="22"/>
                <w:szCs w:val="22"/>
              </w:rPr>
              <w:t>PSD Major Source ? (Y/N)</w:t>
            </w:r>
          </w:p>
        </w:tc>
        <w:tc>
          <w:tcPr>
            <w:tcW w:w="810" w:type="dxa"/>
            <w:tcBorders>
              <w:top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N</w:t>
            </w:r>
          </w:p>
        </w:tc>
        <w:tc>
          <w:tcPr>
            <w:tcW w:w="810" w:type="dxa"/>
            <w:tcBorders>
              <w:top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N</w:t>
            </w:r>
          </w:p>
        </w:tc>
        <w:tc>
          <w:tcPr>
            <w:tcW w:w="827" w:type="dxa"/>
            <w:tcBorders>
              <w:top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N</w:t>
            </w:r>
          </w:p>
        </w:tc>
        <w:tc>
          <w:tcPr>
            <w:tcW w:w="703" w:type="dxa"/>
            <w:tcBorders>
              <w:top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N</w:t>
            </w:r>
          </w:p>
        </w:tc>
        <w:tc>
          <w:tcPr>
            <w:tcW w:w="720" w:type="dxa"/>
            <w:tcBorders>
              <w:top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N</w:t>
            </w:r>
          </w:p>
        </w:tc>
        <w:tc>
          <w:tcPr>
            <w:tcW w:w="810" w:type="dxa"/>
            <w:tcBorders>
              <w:top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N</w:t>
            </w:r>
          </w:p>
        </w:tc>
        <w:tc>
          <w:tcPr>
            <w:tcW w:w="1260" w:type="dxa"/>
            <w:tcBorders>
              <w:top w:val="single" w:sz="12" w:space="0" w:color="auto"/>
            </w:tcBorders>
            <w:shd w:val="clear" w:color="auto" w:fill="auto"/>
            <w:vAlign w:val="center"/>
          </w:tcPr>
          <w:p w:rsidR="00771B36" w:rsidRPr="00B40CD6" w:rsidRDefault="00771B36" w:rsidP="00B40CD6">
            <w:pPr>
              <w:jc w:val="center"/>
              <w:rPr>
                <w:rFonts w:cs="Arial"/>
                <w:noProof/>
                <w:color w:val="000000"/>
                <w:sz w:val="22"/>
                <w:szCs w:val="22"/>
              </w:rPr>
            </w:pPr>
            <w:r w:rsidRPr="00B40CD6">
              <w:rPr>
                <w:rFonts w:cs="Arial"/>
                <w:noProof/>
                <w:color w:val="000000"/>
                <w:sz w:val="22"/>
                <w:szCs w:val="22"/>
              </w:rPr>
              <w:t>N</w:t>
            </w:r>
          </w:p>
        </w:tc>
      </w:tr>
    </w:tbl>
    <w:p w:rsidR="00771B36" w:rsidRPr="00771B36" w:rsidRDefault="00771B36" w:rsidP="00771B36">
      <w:pPr>
        <w:suppressAutoHyphens/>
        <w:ind w:left="720"/>
        <w:jc w:val="both"/>
        <w:rPr>
          <w:rFonts w:cs="Arial"/>
          <w:noProof/>
          <w:color w:val="000000"/>
        </w:rPr>
      </w:pPr>
    </w:p>
    <w:p w:rsidR="00771B36" w:rsidRPr="00771B36" w:rsidRDefault="00771B36" w:rsidP="00771B36">
      <w:pPr>
        <w:suppressAutoHyphens/>
        <w:ind w:left="720"/>
        <w:jc w:val="both"/>
        <w:rPr>
          <w:rFonts w:cs="Arial"/>
          <w:noProof/>
          <w:color w:val="000000"/>
        </w:rPr>
      </w:pPr>
      <w:r w:rsidRPr="00771B36">
        <w:rPr>
          <w:rFonts w:cs="Arial"/>
          <w:noProof/>
          <w:color w:val="000000"/>
        </w:rPr>
        <w:t xml:space="preserve">As shown above, the facility </w:t>
      </w:r>
      <w:r w:rsidRPr="00066C21">
        <w:rPr>
          <w:rFonts w:cs="Arial"/>
          <w:noProof/>
          <w:color w:val="0000FF"/>
        </w:rPr>
        <w:t>is not</w:t>
      </w:r>
      <w:r w:rsidRPr="00066C21">
        <w:rPr>
          <w:rFonts w:cs="Arial"/>
          <w:noProof/>
        </w:rPr>
        <w:t xml:space="preserve"> </w:t>
      </w:r>
      <w:r w:rsidRPr="00771B36">
        <w:rPr>
          <w:rFonts w:cs="Arial"/>
          <w:noProof/>
          <w:color w:val="000000"/>
        </w:rPr>
        <w:t xml:space="preserve">an existing major source for PSD for at least one pollutant.  Therefore the </w:t>
      </w:r>
      <w:r w:rsidRPr="00066C21">
        <w:rPr>
          <w:rFonts w:cs="Arial"/>
          <w:noProof/>
        </w:rPr>
        <w:t xml:space="preserve">facility </w:t>
      </w:r>
      <w:r w:rsidRPr="00066C21">
        <w:rPr>
          <w:rFonts w:cs="Arial"/>
          <w:noProof/>
          <w:color w:val="0000FF"/>
        </w:rPr>
        <w:t xml:space="preserve">is not </w:t>
      </w:r>
      <w:r w:rsidRPr="00771B36">
        <w:rPr>
          <w:rFonts w:cs="Arial"/>
          <w:noProof/>
          <w:color w:val="000000"/>
        </w:rPr>
        <w:t xml:space="preserve">an existing </w:t>
      </w:r>
      <w:r w:rsidRPr="00066C21">
        <w:rPr>
          <w:rFonts w:cs="Arial"/>
          <w:noProof/>
        </w:rPr>
        <w:t>major source for PSD</w:t>
      </w:r>
      <w:r w:rsidRPr="00771B36">
        <w:rPr>
          <w:rFonts w:cs="Arial"/>
          <w:noProof/>
          <w:color w:val="000000"/>
        </w:rPr>
        <w:t>.</w:t>
      </w:r>
    </w:p>
    <w:p w:rsidR="00771B36" w:rsidRDefault="00771B36">
      <w:pPr>
        <w:suppressAutoHyphens/>
        <w:ind w:left="1080"/>
        <w:jc w:val="both"/>
        <w:rPr>
          <w:i/>
          <w:iCs/>
          <w:color w:val="FF0000"/>
        </w:rPr>
      </w:pPr>
    </w:p>
    <w:p w:rsidR="0019180C" w:rsidRDefault="0019180C">
      <w:pPr>
        <w:pStyle w:val="Heading3"/>
      </w:pPr>
      <w:r>
        <w:t>Baseline Emissions (BE)</w:t>
      </w:r>
    </w:p>
    <w:p w:rsidR="0019180C" w:rsidRDefault="0019180C">
      <w:pPr>
        <w:autoSpaceDE w:val="0"/>
        <w:autoSpaceDN w:val="0"/>
        <w:adjustRightInd w:val="0"/>
        <w:ind w:left="864"/>
        <w:rPr>
          <w:b/>
          <w:color w:val="000000"/>
        </w:rPr>
      </w:pPr>
    </w:p>
    <w:p w:rsidR="0019180C" w:rsidRDefault="0019180C">
      <w:pPr>
        <w:pStyle w:val="Heading4"/>
      </w:pPr>
      <w:r>
        <w:t>Annual BE</w:t>
      </w:r>
    </w:p>
    <w:p w:rsidR="0019180C" w:rsidRDefault="0019180C">
      <w:pPr>
        <w:autoSpaceDE w:val="0"/>
        <w:autoSpaceDN w:val="0"/>
        <w:adjustRightInd w:val="0"/>
        <w:ind w:left="1296"/>
        <w:rPr>
          <w:color w:val="000000"/>
        </w:rPr>
      </w:pPr>
    </w:p>
    <w:p w:rsidR="0019180C" w:rsidRDefault="0019180C">
      <w:pPr>
        <w:pStyle w:val="BodyTextIndent2"/>
        <w:rPr>
          <w:snapToGrid/>
        </w:rPr>
      </w:pPr>
      <w:r>
        <w:rPr>
          <w:snapToGrid/>
        </w:rPr>
        <w:t>BE = Pre-project Potential to Emit for:</w:t>
      </w:r>
    </w:p>
    <w:p w:rsidR="0019180C" w:rsidRDefault="0019180C">
      <w:pPr>
        <w:numPr>
          <w:ilvl w:val="0"/>
          <w:numId w:val="5"/>
        </w:numPr>
        <w:tabs>
          <w:tab w:val="clear" w:pos="540"/>
          <w:tab w:val="num" w:pos="1260"/>
        </w:tabs>
        <w:ind w:left="1980"/>
      </w:pPr>
      <w:r>
        <w:t>Any unit located at a non-Major Source,</w:t>
      </w:r>
    </w:p>
    <w:p w:rsidR="0019180C" w:rsidRDefault="0019180C">
      <w:pPr>
        <w:numPr>
          <w:ilvl w:val="0"/>
          <w:numId w:val="5"/>
        </w:numPr>
        <w:tabs>
          <w:tab w:val="clear" w:pos="540"/>
          <w:tab w:val="num" w:pos="1260"/>
        </w:tabs>
        <w:ind w:left="1980"/>
      </w:pPr>
      <w:r>
        <w:t>Any Highly-Utilized Emissions Unit, located at a Major Source,</w:t>
      </w:r>
    </w:p>
    <w:p w:rsidR="0019180C" w:rsidRDefault="0019180C">
      <w:pPr>
        <w:numPr>
          <w:ilvl w:val="0"/>
          <w:numId w:val="5"/>
        </w:numPr>
        <w:tabs>
          <w:tab w:val="clear" w:pos="540"/>
          <w:tab w:val="num" w:pos="1260"/>
        </w:tabs>
        <w:ind w:left="1980"/>
      </w:pPr>
      <w:r>
        <w:t>Any Fully-Offset Emissions Unit, located at a Major Source, or</w:t>
      </w:r>
    </w:p>
    <w:p w:rsidR="0019180C" w:rsidRDefault="0019180C">
      <w:pPr>
        <w:numPr>
          <w:ilvl w:val="0"/>
          <w:numId w:val="5"/>
        </w:numPr>
        <w:tabs>
          <w:tab w:val="clear" w:pos="540"/>
          <w:tab w:val="num" w:pos="1260"/>
        </w:tabs>
        <w:ind w:left="1980"/>
      </w:pPr>
      <w:r>
        <w:t>Any Clean Emissions Unit, located at a Major Source.</w:t>
      </w:r>
    </w:p>
    <w:p w:rsidR="0019180C" w:rsidRDefault="0019180C">
      <w:pPr>
        <w:ind w:left="1620"/>
      </w:pPr>
    </w:p>
    <w:p w:rsidR="0019180C" w:rsidRDefault="0019180C">
      <w:pPr>
        <w:ind w:left="1440"/>
      </w:pPr>
      <w:r>
        <w:t>otherwise,</w:t>
      </w:r>
    </w:p>
    <w:p w:rsidR="0019180C" w:rsidRDefault="0019180C">
      <w:pPr>
        <w:ind w:left="1440"/>
      </w:pPr>
    </w:p>
    <w:p w:rsidR="0019180C" w:rsidRDefault="0019180C">
      <w:pPr>
        <w:autoSpaceDE w:val="0"/>
        <w:autoSpaceDN w:val="0"/>
        <w:adjustRightInd w:val="0"/>
        <w:ind w:left="1440"/>
        <w:rPr>
          <w:color w:val="000000"/>
        </w:rPr>
      </w:pPr>
      <w:r>
        <w:rPr>
          <w:color w:val="000000"/>
          <w:szCs w:val="18"/>
        </w:rPr>
        <w:t>BE = Historic Actual Emissions (HAE), calculated pursuant to Section 3.22</w:t>
      </w:r>
    </w:p>
    <w:p w:rsidR="0019180C" w:rsidRDefault="0019180C">
      <w:pPr>
        <w:autoSpaceDE w:val="0"/>
        <w:autoSpaceDN w:val="0"/>
        <w:adjustRightInd w:val="0"/>
        <w:ind w:left="1440"/>
        <w:jc w:val="both"/>
        <w:rPr>
          <w:color w:val="0000FF"/>
        </w:rPr>
      </w:pPr>
    </w:p>
    <w:p w:rsidR="0019180C" w:rsidRDefault="0019180C">
      <w:pPr>
        <w:autoSpaceDE w:val="0"/>
        <w:autoSpaceDN w:val="0"/>
        <w:adjustRightInd w:val="0"/>
        <w:ind w:left="1440"/>
        <w:jc w:val="both"/>
        <w:rPr>
          <w:color w:val="0000FF"/>
        </w:rPr>
      </w:pPr>
      <w:r>
        <w:rPr>
          <w:color w:val="0000FF"/>
        </w:rPr>
        <w:t>Since this is a new facility, the annual BE is equal to zero.</w:t>
      </w:r>
    </w:p>
    <w:p w:rsidR="0019180C" w:rsidRDefault="0019180C">
      <w:pPr>
        <w:autoSpaceDE w:val="0"/>
        <w:autoSpaceDN w:val="0"/>
        <w:adjustRightInd w:val="0"/>
        <w:ind w:left="1440"/>
        <w:rPr>
          <w:color w:val="0000FF"/>
        </w:rPr>
      </w:pPr>
    </w:p>
    <w:p w:rsidR="0019180C" w:rsidRDefault="0019180C">
      <w:pPr>
        <w:autoSpaceDE w:val="0"/>
        <w:autoSpaceDN w:val="0"/>
        <w:adjustRightInd w:val="0"/>
        <w:ind w:left="864"/>
        <w:rPr>
          <w:color w:val="FF0000"/>
        </w:rPr>
      </w:pPr>
      <w:r>
        <w:rPr>
          <w:color w:val="FF0000"/>
        </w:rPr>
        <w:t>OR</w:t>
      </w:r>
    </w:p>
    <w:p w:rsidR="0019180C" w:rsidRDefault="0019180C">
      <w:pPr>
        <w:autoSpaceDE w:val="0"/>
        <w:autoSpaceDN w:val="0"/>
        <w:adjustRightInd w:val="0"/>
        <w:ind w:left="864"/>
        <w:rPr>
          <w:color w:val="0000FF"/>
        </w:rPr>
      </w:pPr>
    </w:p>
    <w:p w:rsidR="0019180C" w:rsidRDefault="0019180C">
      <w:pPr>
        <w:autoSpaceDE w:val="0"/>
        <w:autoSpaceDN w:val="0"/>
        <w:adjustRightInd w:val="0"/>
        <w:ind w:left="1440"/>
        <w:jc w:val="both"/>
        <w:rPr>
          <w:color w:val="0000FF"/>
        </w:rPr>
      </w:pPr>
      <w:r>
        <w:rPr>
          <w:rFonts w:cs="Arial"/>
          <w:color w:val="0000FF"/>
        </w:rPr>
        <w:t>Since this unit is not located at a major source, BE = Pre-project Potential to Emit.</w:t>
      </w:r>
    </w:p>
    <w:p w:rsidR="0019180C" w:rsidRDefault="0019180C">
      <w:pPr>
        <w:autoSpaceDE w:val="0"/>
        <w:autoSpaceDN w:val="0"/>
        <w:adjustRightInd w:val="0"/>
        <w:ind w:left="864"/>
        <w:rPr>
          <w:color w:val="000000"/>
        </w:rPr>
      </w:pPr>
    </w:p>
    <w:tbl>
      <w:tblPr>
        <w:tblW w:w="0" w:type="auto"/>
        <w:tblInd w:w="14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890"/>
        <w:gridCol w:w="1116"/>
        <w:gridCol w:w="1116"/>
        <w:gridCol w:w="1116"/>
        <w:gridCol w:w="1116"/>
        <w:gridCol w:w="1116"/>
      </w:tblGrid>
      <w:tr w:rsidR="0019180C" w:rsidTr="00B031E6">
        <w:trPr>
          <w:cantSplit/>
          <w:trHeight w:val="100"/>
        </w:trPr>
        <w:tc>
          <w:tcPr>
            <w:tcW w:w="7470" w:type="dxa"/>
            <w:gridSpan w:val="6"/>
            <w:tcBorders>
              <w:top w:val="double" w:sz="4" w:space="0" w:color="auto"/>
              <w:left w:val="double" w:sz="4" w:space="0" w:color="auto"/>
              <w:bottom w:val="nil"/>
              <w:right w:val="double" w:sz="4" w:space="0" w:color="auto"/>
            </w:tcBorders>
            <w:shd w:val="clear" w:color="auto" w:fill="auto"/>
          </w:tcPr>
          <w:p w:rsidR="0019180C" w:rsidRDefault="0019180C">
            <w:pPr>
              <w:spacing w:before="40" w:after="40"/>
              <w:jc w:val="center"/>
              <w:rPr>
                <w:rFonts w:cs="Arial"/>
                <w:b/>
                <w:snapToGrid w:val="0"/>
                <w:color w:val="000000"/>
              </w:rPr>
            </w:pPr>
            <w:r>
              <w:rPr>
                <w:rFonts w:cs="Arial"/>
                <w:b/>
                <w:bCs/>
                <w:color w:val="000000"/>
                <w:spacing w:val="-3"/>
              </w:rPr>
              <w:t xml:space="preserve">Annual BE (lb/year) </w:t>
            </w:r>
          </w:p>
        </w:tc>
      </w:tr>
      <w:tr w:rsidR="0019180C" w:rsidTr="00B031E6">
        <w:trPr>
          <w:cantSplit/>
          <w:trHeight w:val="160"/>
        </w:trPr>
        <w:tc>
          <w:tcPr>
            <w:tcW w:w="1890" w:type="dxa"/>
            <w:tcBorders>
              <w:top w:val="double" w:sz="4" w:space="0" w:color="auto"/>
              <w:left w:val="double" w:sz="4" w:space="0" w:color="auto"/>
              <w:bottom w:val="double" w:sz="4" w:space="0" w:color="auto"/>
            </w:tcBorders>
            <w:shd w:val="clear" w:color="auto" w:fill="auto"/>
          </w:tcPr>
          <w:p w:rsidR="0019180C" w:rsidRDefault="0019180C">
            <w:pPr>
              <w:jc w:val="center"/>
            </w:pPr>
            <w:r>
              <w:t>Permit Number</w:t>
            </w:r>
          </w:p>
        </w:tc>
        <w:tc>
          <w:tcPr>
            <w:tcW w:w="1116" w:type="dxa"/>
            <w:tcBorders>
              <w:top w:val="double" w:sz="4" w:space="0" w:color="auto"/>
              <w:bottom w:val="double" w:sz="4" w:space="0" w:color="auto"/>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NO</w:t>
            </w:r>
            <w:r>
              <w:rPr>
                <w:b/>
                <w:bCs/>
                <w:vertAlign w:val="subscript"/>
              </w:rPr>
              <w:t>x</w:t>
            </w:r>
          </w:p>
        </w:tc>
        <w:tc>
          <w:tcPr>
            <w:tcW w:w="1116" w:type="dxa"/>
            <w:tcBorders>
              <w:top w:val="double" w:sz="4" w:space="0" w:color="auto"/>
              <w:bottom w:val="double" w:sz="4" w:space="0" w:color="auto"/>
              <w:right w:val="single" w:sz="6" w:space="0" w:color="auto"/>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SO</w:t>
            </w:r>
            <w:r>
              <w:rPr>
                <w:b/>
                <w:bCs/>
                <w:vertAlign w:val="subscript"/>
              </w:rPr>
              <w:t>x</w:t>
            </w:r>
          </w:p>
        </w:tc>
        <w:tc>
          <w:tcPr>
            <w:tcW w:w="1116" w:type="dxa"/>
            <w:tcBorders>
              <w:top w:val="double" w:sz="4" w:space="0" w:color="auto"/>
              <w:left w:val="single" w:sz="6" w:space="0" w:color="auto"/>
              <w:bottom w:val="double" w:sz="4" w:space="0" w:color="auto"/>
              <w:right w:val="single" w:sz="6" w:space="0" w:color="auto"/>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vertAlign w:val="subscript"/>
              </w:rPr>
            </w:pPr>
            <w:r>
              <w:rPr>
                <w:b/>
                <w:bCs/>
              </w:rPr>
              <w:t>PM</w:t>
            </w:r>
            <w:r>
              <w:rPr>
                <w:b/>
                <w:bCs/>
                <w:vertAlign w:val="subscript"/>
              </w:rPr>
              <w:t>10</w:t>
            </w:r>
          </w:p>
        </w:tc>
        <w:tc>
          <w:tcPr>
            <w:tcW w:w="1116" w:type="dxa"/>
            <w:tcBorders>
              <w:top w:val="double" w:sz="4" w:space="0" w:color="auto"/>
              <w:left w:val="single" w:sz="6" w:space="0" w:color="auto"/>
              <w:bottom w:val="double" w:sz="4" w:space="0" w:color="auto"/>
              <w:right w:val="single" w:sz="6" w:space="0" w:color="auto"/>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CO</w:t>
            </w:r>
          </w:p>
        </w:tc>
        <w:tc>
          <w:tcPr>
            <w:tcW w:w="1116" w:type="dxa"/>
            <w:tcBorders>
              <w:top w:val="double" w:sz="4" w:space="0" w:color="auto"/>
              <w:left w:val="single" w:sz="6" w:space="0" w:color="auto"/>
              <w:bottom w:val="double" w:sz="4" w:space="0" w:color="auto"/>
              <w:right w:val="double" w:sz="4" w:space="0" w:color="auto"/>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VOC</w:t>
            </w:r>
          </w:p>
        </w:tc>
      </w:tr>
      <w:tr w:rsidR="0019180C">
        <w:trPr>
          <w:cantSplit/>
          <w:trHeight w:val="247"/>
        </w:trPr>
        <w:tc>
          <w:tcPr>
            <w:tcW w:w="1890" w:type="dxa"/>
            <w:tcBorders>
              <w:top w:val="nil"/>
              <w:left w:val="double" w:sz="4" w:space="0" w:color="auto"/>
              <w:bottom w:val="double" w:sz="4" w:space="0" w:color="auto"/>
            </w:tcBorders>
          </w:tcPr>
          <w:p w:rsidR="0019180C" w:rsidRDefault="0019180C">
            <w:pPr>
              <w:jc w:val="center"/>
              <w:rPr>
                <w:color w:val="0000FF"/>
              </w:rPr>
            </w:pPr>
            <w:r>
              <w:rPr>
                <w:color w:val="0000FF"/>
              </w:rPr>
              <w:t>C-xxxx-xx</w:t>
            </w:r>
          </w:p>
        </w:tc>
        <w:tc>
          <w:tcPr>
            <w:tcW w:w="1116" w:type="dxa"/>
            <w:tcBorders>
              <w:top w:val="nil"/>
              <w:bottom w:val="double" w:sz="4" w:space="0" w:color="auto"/>
            </w:tcBorders>
          </w:tcPr>
          <w:p w:rsidR="0019180C" w:rsidRDefault="0019180C">
            <w:pPr>
              <w:jc w:val="center"/>
            </w:pPr>
            <w:r>
              <w:t>0</w:t>
            </w:r>
          </w:p>
        </w:tc>
        <w:tc>
          <w:tcPr>
            <w:tcW w:w="1116" w:type="dxa"/>
            <w:tcBorders>
              <w:top w:val="nil"/>
              <w:bottom w:val="double" w:sz="4" w:space="0" w:color="auto"/>
              <w:right w:val="single" w:sz="6" w:space="0" w:color="auto"/>
            </w:tcBorders>
          </w:tcPr>
          <w:p w:rsidR="0019180C" w:rsidRDefault="0019180C">
            <w:pPr>
              <w:jc w:val="center"/>
            </w:pPr>
            <w:r>
              <w:t>0</w:t>
            </w:r>
          </w:p>
        </w:tc>
        <w:tc>
          <w:tcPr>
            <w:tcW w:w="1116" w:type="dxa"/>
            <w:tcBorders>
              <w:top w:val="nil"/>
              <w:left w:val="single" w:sz="6" w:space="0" w:color="auto"/>
              <w:bottom w:val="double" w:sz="4" w:space="0" w:color="auto"/>
              <w:right w:val="single" w:sz="6" w:space="0" w:color="auto"/>
            </w:tcBorders>
          </w:tcPr>
          <w:p w:rsidR="0019180C" w:rsidRDefault="0019180C">
            <w:pPr>
              <w:jc w:val="center"/>
            </w:pPr>
            <w:r>
              <w:t>0</w:t>
            </w:r>
          </w:p>
        </w:tc>
        <w:tc>
          <w:tcPr>
            <w:tcW w:w="1116" w:type="dxa"/>
            <w:tcBorders>
              <w:top w:val="nil"/>
              <w:left w:val="single" w:sz="6" w:space="0" w:color="auto"/>
              <w:bottom w:val="double" w:sz="4" w:space="0" w:color="auto"/>
              <w:right w:val="single" w:sz="6" w:space="0" w:color="auto"/>
            </w:tcBorders>
          </w:tcPr>
          <w:p w:rsidR="0019180C" w:rsidRDefault="0019180C">
            <w:pPr>
              <w:jc w:val="center"/>
            </w:pPr>
            <w:r>
              <w:t>0</w:t>
            </w:r>
          </w:p>
        </w:tc>
        <w:tc>
          <w:tcPr>
            <w:tcW w:w="1116" w:type="dxa"/>
            <w:tcBorders>
              <w:top w:val="nil"/>
              <w:left w:val="single" w:sz="6" w:space="0" w:color="auto"/>
              <w:bottom w:val="double" w:sz="4" w:space="0" w:color="auto"/>
              <w:right w:val="double" w:sz="4" w:space="0" w:color="auto"/>
            </w:tcBorders>
          </w:tcPr>
          <w:p w:rsidR="0019180C" w:rsidRDefault="0019180C">
            <w:pPr>
              <w:jc w:val="center"/>
              <w:rPr>
                <w:color w:val="0000FF"/>
              </w:rPr>
            </w:pPr>
            <w:r>
              <w:rPr>
                <w:color w:val="0000FF"/>
              </w:rPr>
              <w:t>[  ]</w:t>
            </w:r>
          </w:p>
        </w:tc>
      </w:tr>
    </w:tbl>
    <w:p w:rsidR="0019180C" w:rsidRDefault="0019180C">
      <w:pPr>
        <w:autoSpaceDE w:val="0"/>
        <w:autoSpaceDN w:val="0"/>
        <w:adjustRightInd w:val="0"/>
        <w:ind w:left="864"/>
        <w:rPr>
          <w:color w:val="000000"/>
        </w:rPr>
      </w:pPr>
    </w:p>
    <w:p w:rsidR="0019180C" w:rsidRDefault="0019180C">
      <w:pPr>
        <w:pStyle w:val="Heading4"/>
      </w:pPr>
      <w:r>
        <w:t>Quarterly BE (QBE)</w:t>
      </w:r>
    </w:p>
    <w:p w:rsidR="0019180C" w:rsidRDefault="0019180C">
      <w:pPr>
        <w:autoSpaceDE w:val="0"/>
        <w:autoSpaceDN w:val="0"/>
        <w:adjustRightInd w:val="0"/>
        <w:ind w:left="1440"/>
        <w:rPr>
          <w:rFonts w:cs="Arial"/>
          <w:color w:val="000000"/>
        </w:rPr>
      </w:pPr>
    </w:p>
    <w:p w:rsidR="0019180C" w:rsidRDefault="0019180C">
      <w:pPr>
        <w:autoSpaceDE w:val="0"/>
        <w:autoSpaceDN w:val="0"/>
        <w:adjustRightInd w:val="0"/>
        <w:ind w:left="1080"/>
        <w:rPr>
          <w:rFonts w:cs="Arial"/>
          <w:color w:val="000000"/>
        </w:rPr>
      </w:pPr>
      <w:r>
        <w:rPr>
          <w:rFonts w:cs="Arial"/>
          <w:color w:val="000000"/>
        </w:rPr>
        <w:lastRenderedPageBreak/>
        <w:t xml:space="preserve">The QBE is required, unit by unit, pollutant by pollutant, to determine the Quarterly Net Emissions Change below.  </w:t>
      </w:r>
    </w:p>
    <w:p w:rsidR="0019180C" w:rsidRDefault="0019180C">
      <w:pPr>
        <w:autoSpaceDE w:val="0"/>
        <w:autoSpaceDN w:val="0"/>
        <w:adjustRightInd w:val="0"/>
        <w:ind w:left="1440"/>
        <w:rPr>
          <w:rFonts w:cs="Arial"/>
          <w:color w:val="000000"/>
        </w:rPr>
      </w:pPr>
    </w:p>
    <w:p w:rsidR="0019180C" w:rsidRDefault="0019180C">
      <w:pPr>
        <w:autoSpaceDE w:val="0"/>
        <w:autoSpaceDN w:val="0"/>
        <w:adjustRightInd w:val="0"/>
        <w:ind w:left="1080"/>
        <w:rPr>
          <w:i/>
          <w:iCs/>
          <w:color w:val="FF0000"/>
        </w:rPr>
      </w:pPr>
      <w:r>
        <w:rPr>
          <w:i/>
          <w:iCs/>
          <w:color w:val="FF0000"/>
        </w:rPr>
        <w:t>[For New Facilities]</w:t>
      </w:r>
    </w:p>
    <w:p w:rsidR="0019180C" w:rsidRDefault="0019180C">
      <w:pPr>
        <w:autoSpaceDE w:val="0"/>
        <w:autoSpaceDN w:val="0"/>
        <w:adjustRightInd w:val="0"/>
        <w:ind w:left="1080"/>
        <w:rPr>
          <w:color w:val="0000FF"/>
        </w:rPr>
      </w:pPr>
    </w:p>
    <w:p w:rsidR="0019180C" w:rsidRDefault="0019180C">
      <w:pPr>
        <w:pStyle w:val="BodyTextIndent2"/>
        <w:autoSpaceDE w:val="0"/>
        <w:autoSpaceDN w:val="0"/>
        <w:adjustRightInd w:val="0"/>
        <w:ind w:left="1080"/>
        <w:rPr>
          <w:rFonts w:cs="Arial"/>
          <w:snapToGrid/>
        </w:rPr>
      </w:pPr>
      <w:r>
        <w:rPr>
          <w:snapToGrid/>
        </w:rPr>
        <w:t>Since this is a new facility, the quarterly BE is equal to zero.</w:t>
      </w:r>
    </w:p>
    <w:p w:rsidR="0019180C" w:rsidRDefault="0019180C">
      <w:pPr>
        <w:autoSpaceDE w:val="0"/>
        <w:autoSpaceDN w:val="0"/>
        <w:adjustRightInd w:val="0"/>
        <w:ind w:left="1080"/>
        <w:rPr>
          <w:rFonts w:cs="Arial"/>
          <w:color w:val="000000"/>
        </w:rPr>
      </w:pPr>
    </w:p>
    <w:p w:rsidR="0019180C" w:rsidRDefault="0019180C">
      <w:pPr>
        <w:autoSpaceDE w:val="0"/>
        <w:autoSpaceDN w:val="0"/>
        <w:adjustRightInd w:val="0"/>
        <w:ind w:left="1080"/>
        <w:rPr>
          <w:rFonts w:cs="Arial"/>
          <w:color w:val="000000"/>
        </w:rPr>
      </w:pPr>
      <w:r>
        <w:rPr>
          <w:i/>
          <w:iCs/>
          <w:color w:val="FF0000"/>
        </w:rPr>
        <w:t>[For Existing Facilities]</w:t>
      </w:r>
    </w:p>
    <w:p w:rsidR="0019180C" w:rsidRDefault="0019180C">
      <w:pPr>
        <w:autoSpaceDE w:val="0"/>
        <w:autoSpaceDN w:val="0"/>
        <w:adjustRightInd w:val="0"/>
        <w:ind w:left="1080"/>
        <w:rPr>
          <w:rFonts w:cs="Arial"/>
          <w:color w:val="000000"/>
        </w:rPr>
      </w:pPr>
    </w:p>
    <w:p w:rsidR="0019180C" w:rsidRDefault="0019180C">
      <w:pPr>
        <w:autoSpaceDE w:val="0"/>
        <w:autoSpaceDN w:val="0"/>
        <w:adjustRightInd w:val="0"/>
        <w:ind w:left="1080"/>
        <w:rPr>
          <w:vertAlign w:val="subscript"/>
        </w:rPr>
      </w:pPr>
      <w:r>
        <w:rPr>
          <w:rFonts w:cs="Arial"/>
          <w:color w:val="000000"/>
          <w:szCs w:val="18"/>
        </w:rPr>
        <w:t xml:space="preserve">QBE = </w:t>
      </w:r>
      <w:r>
        <w:rPr>
          <w:rFonts w:cs="Arial"/>
          <w:color w:val="0000FF"/>
          <w:szCs w:val="18"/>
        </w:rPr>
        <w:t>PE</w:t>
      </w:r>
      <w:r>
        <w:rPr>
          <w:rFonts w:cs="Arial"/>
          <w:color w:val="0000FF"/>
          <w:szCs w:val="18"/>
          <w:vertAlign w:val="subscript"/>
        </w:rPr>
        <w:t>1</w:t>
      </w:r>
      <w:r>
        <w:rPr>
          <w:rFonts w:cs="Arial"/>
          <w:color w:val="000000"/>
          <w:szCs w:val="18"/>
          <w:vertAlign w:val="subscript"/>
        </w:rPr>
        <w:t>quarterly</w:t>
      </w:r>
    </w:p>
    <w:p w:rsidR="0019180C" w:rsidRDefault="0019180C">
      <w:pPr>
        <w:tabs>
          <w:tab w:val="left" w:pos="1170"/>
        </w:tabs>
        <w:suppressAutoHyphens/>
        <w:ind w:left="1440" w:hanging="1440"/>
        <w:jc w:val="both"/>
      </w:pPr>
      <w:r>
        <w:rPr>
          <w:i/>
          <w:iCs/>
          <w:color w:val="FF0000"/>
        </w:rPr>
        <w:tab/>
      </w:r>
    </w:p>
    <w:tbl>
      <w:tblPr>
        <w:tblW w:w="0" w:type="auto"/>
        <w:tblInd w:w="14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890"/>
        <w:gridCol w:w="1116"/>
        <w:gridCol w:w="1116"/>
        <w:gridCol w:w="1116"/>
        <w:gridCol w:w="1116"/>
        <w:gridCol w:w="1116"/>
      </w:tblGrid>
      <w:tr w:rsidR="0019180C" w:rsidTr="00B031E6">
        <w:trPr>
          <w:cantSplit/>
          <w:trHeight w:val="100"/>
        </w:trPr>
        <w:tc>
          <w:tcPr>
            <w:tcW w:w="7470" w:type="dxa"/>
            <w:gridSpan w:val="6"/>
            <w:tcBorders>
              <w:top w:val="double" w:sz="4" w:space="0" w:color="auto"/>
              <w:left w:val="double" w:sz="4" w:space="0" w:color="auto"/>
              <w:bottom w:val="nil"/>
              <w:right w:val="double" w:sz="4" w:space="0" w:color="auto"/>
            </w:tcBorders>
            <w:shd w:val="clear" w:color="auto" w:fill="auto"/>
          </w:tcPr>
          <w:p w:rsidR="0019180C" w:rsidRDefault="0019180C">
            <w:pPr>
              <w:spacing w:before="40" w:after="40"/>
              <w:jc w:val="center"/>
              <w:rPr>
                <w:rFonts w:cs="Arial"/>
                <w:b/>
                <w:snapToGrid w:val="0"/>
                <w:color w:val="000000"/>
              </w:rPr>
            </w:pPr>
            <w:r>
              <w:rPr>
                <w:rFonts w:cs="Arial"/>
                <w:b/>
                <w:bCs/>
                <w:color w:val="000000"/>
                <w:spacing w:val="-3"/>
              </w:rPr>
              <w:t xml:space="preserve">QBE (lb/qtr) </w:t>
            </w:r>
          </w:p>
        </w:tc>
      </w:tr>
      <w:tr w:rsidR="0019180C" w:rsidTr="00B031E6">
        <w:trPr>
          <w:cantSplit/>
          <w:trHeight w:val="160"/>
        </w:trPr>
        <w:tc>
          <w:tcPr>
            <w:tcW w:w="1890" w:type="dxa"/>
            <w:tcBorders>
              <w:top w:val="double" w:sz="4" w:space="0" w:color="auto"/>
              <w:left w:val="double" w:sz="4" w:space="0" w:color="auto"/>
              <w:bottom w:val="double" w:sz="4" w:space="0" w:color="auto"/>
            </w:tcBorders>
            <w:shd w:val="clear" w:color="auto" w:fill="auto"/>
          </w:tcPr>
          <w:p w:rsidR="0019180C" w:rsidRDefault="0019180C">
            <w:pPr>
              <w:jc w:val="center"/>
              <w:rPr>
                <w:b/>
                <w:bCs/>
              </w:rPr>
            </w:pPr>
            <w:r>
              <w:rPr>
                <w:b/>
                <w:bCs/>
              </w:rPr>
              <w:t>Permit Number</w:t>
            </w:r>
          </w:p>
        </w:tc>
        <w:tc>
          <w:tcPr>
            <w:tcW w:w="1116" w:type="dxa"/>
            <w:tcBorders>
              <w:top w:val="double" w:sz="4" w:space="0" w:color="auto"/>
              <w:bottom w:val="double" w:sz="4" w:space="0" w:color="auto"/>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NO</w:t>
            </w:r>
            <w:r>
              <w:rPr>
                <w:b/>
                <w:bCs/>
                <w:vertAlign w:val="subscript"/>
              </w:rPr>
              <w:t>x</w:t>
            </w:r>
          </w:p>
        </w:tc>
        <w:tc>
          <w:tcPr>
            <w:tcW w:w="1116" w:type="dxa"/>
            <w:tcBorders>
              <w:top w:val="double" w:sz="4" w:space="0" w:color="auto"/>
              <w:bottom w:val="double" w:sz="4" w:space="0" w:color="auto"/>
              <w:right w:val="single" w:sz="6" w:space="0" w:color="auto"/>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SO</w:t>
            </w:r>
            <w:r>
              <w:rPr>
                <w:b/>
                <w:bCs/>
                <w:vertAlign w:val="subscript"/>
              </w:rPr>
              <w:t>x</w:t>
            </w:r>
          </w:p>
        </w:tc>
        <w:tc>
          <w:tcPr>
            <w:tcW w:w="1116" w:type="dxa"/>
            <w:tcBorders>
              <w:top w:val="double" w:sz="4" w:space="0" w:color="auto"/>
              <w:left w:val="single" w:sz="6" w:space="0" w:color="auto"/>
              <w:bottom w:val="double" w:sz="4" w:space="0" w:color="auto"/>
              <w:right w:val="single" w:sz="6" w:space="0" w:color="auto"/>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vertAlign w:val="subscript"/>
              </w:rPr>
            </w:pPr>
            <w:r>
              <w:rPr>
                <w:b/>
                <w:bCs/>
              </w:rPr>
              <w:t>PM</w:t>
            </w:r>
            <w:r>
              <w:rPr>
                <w:b/>
                <w:bCs/>
                <w:vertAlign w:val="subscript"/>
              </w:rPr>
              <w:t>10</w:t>
            </w:r>
          </w:p>
        </w:tc>
        <w:tc>
          <w:tcPr>
            <w:tcW w:w="1116" w:type="dxa"/>
            <w:tcBorders>
              <w:top w:val="double" w:sz="4" w:space="0" w:color="auto"/>
              <w:left w:val="single" w:sz="6" w:space="0" w:color="auto"/>
              <w:bottom w:val="double" w:sz="4" w:space="0" w:color="auto"/>
              <w:right w:val="single" w:sz="6" w:space="0" w:color="auto"/>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CO</w:t>
            </w:r>
          </w:p>
        </w:tc>
        <w:tc>
          <w:tcPr>
            <w:tcW w:w="1116" w:type="dxa"/>
            <w:tcBorders>
              <w:top w:val="double" w:sz="4" w:space="0" w:color="auto"/>
              <w:left w:val="single" w:sz="6" w:space="0" w:color="auto"/>
              <w:bottom w:val="double" w:sz="4" w:space="0" w:color="auto"/>
              <w:right w:val="double" w:sz="4" w:space="0" w:color="auto"/>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VOC</w:t>
            </w:r>
          </w:p>
        </w:tc>
      </w:tr>
      <w:tr w:rsidR="0019180C">
        <w:trPr>
          <w:cantSplit/>
          <w:trHeight w:val="247"/>
        </w:trPr>
        <w:tc>
          <w:tcPr>
            <w:tcW w:w="1890" w:type="dxa"/>
            <w:tcBorders>
              <w:top w:val="nil"/>
              <w:left w:val="double" w:sz="4" w:space="0" w:color="auto"/>
              <w:bottom w:val="double" w:sz="4" w:space="0" w:color="auto"/>
            </w:tcBorders>
          </w:tcPr>
          <w:p w:rsidR="0019180C" w:rsidRDefault="0019180C">
            <w:pPr>
              <w:jc w:val="center"/>
              <w:rPr>
                <w:color w:val="0000FF"/>
              </w:rPr>
            </w:pPr>
            <w:r>
              <w:rPr>
                <w:color w:val="0000FF"/>
              </w:rPr>
              <w:t>C-xxxx-xx</w:t>
            </w:r>
          </w:p>
        </w:tc>
        <w:tc>
          <w:tcPr>
            <w:tcW w:w="1116" w:type="dxa"/>
            <w:tcBorders>
              <w:top w:val="nil"/>
              <w:bottom w:val="double" w:sz="4" w:space="0" w:color="auto"/>
            </w:tcBorders>
          </w:tcPr>
          <w:p w:rsidR="0019180C" w:rsidRDefault="0019180C">
            <w:pPr>
              <w:jc w:val="center"/>
            </w:pPr>
            <w:r>
              <w:t>0</w:t>
            </w:r>
          </w:p>
        </w:tc>
        <w:tc>
          <w:tcPr>
            <w:tcW w:w="1116" w:type="dxa"/>
            <w:tcBorders>
              <w:top w:val="nil"/>
              <w:bottom w:val="double" w:sz="4" w:space="0" w:color="auto"/>
              <w:right w:val="single" w:sz="6" w:space="0" w:color="auto"/>
            </w:tcBorders>
          </w:tcPr>
          <w:p w:rsidR="0019180C" w:rsidRDefault="0019180C">
            <w:pPr>
              <w:jc w:val="center"/>
            </w:pPr>
            <w:r>
              <w:t>0</w:t>
            </w:r>
          </w:p>
        </w:tc>
        <w:tc>
          <w:tcPr>
            <w:tcW w:w="1116" w:type="dxa"/>
            <w:tcBorders>
              <w:top w:val="nil"/>
              <w:left w:val="single" w:sz="6" w:space="0" w:color="auto"/>
              <w:bottom w:val="double" w:sz="4" w:space="0" w:color="auto"/>
              <w:right w:val="single" w:sz="6" w:space="0" w:color="auto"/>
            </w:tcBorders>
          </w:tcPr>
          <w:p w:rsidR="0019180C" w:rsidRDefault="0019180C">
            <w:pPr>
              <w:jc w:val="center"/>
            </w:pPr>
            <w:r>
              <w:t>0</w:t>
            </w:r>
          </w:p>
        </w:tc>
        <w:tc>
          <w:tcPr>
            <w:tcW w:w="1116" w:type="dxa"/>
            <w:tcBorders>
              <w:top w:val="nil"/>
              <w:left w:val="single" w:sz="6" w:space="0" w:color="auto"/>
              <w:bottom w:val="double" w:sz="4" w:space="0" w:color="auto"/>
              <w:right w:val="single" w:sz="6" w:space="0" w:color="auto"/>
            </w:tcBorders>
          </w:tcPr>
          <w:p w:rsidR="0019180C" w:rsidRDefault="0019180C">
            <w:pPr>
              <w:jc w:val="center"/>
            </w:pPr>
            <w:r>
              <w:t>0</w:t>
            </w:r>
          </w:p>
        </w:tc>
        <w:tc>
          <w:tcPr>
            <w:tcW w:w="1116" w:type="dxa"/>
            <w:tcBorders>
              <w:top w:val="nil"/>
              <w:left w:val="single" w:sz="6" w:space="0" w:color="auto"/>
              <w:bottom w:val="double" w:sz="4" w:space="0" w:color="auto"/>
              <w:right w:val="double" w:sz="4" w:space="0" w:color="auto"/>
            </w:tcBorders>
          </w:tcPr>
          <w:p w:rsidR="0019180C" w:rsidRDefault="0019180C">
            <w:pPr>
              <w:jc w:val="center"/>
              <w:rPr>
                <w:color w:val="0000FF"/>
              </w:rPr>
            </w:pPr>
            <w:r>
              <w:rPr>
                <w:color w:val="0000FF"/>
              </w:rPr>
              <w:t>[  ]</w:t>
            </w:r>
          </w:p>
        </w:tc>
      </w:tr>
    </w:tbl>
    <w:p w:rsidR="0019180C" w:rsidRDefault="0019180C">
      <w:pPr>
        <w:tabs>
          <w:tab w:val="left" w:pos="1170"/>
        </w:tabs>
        <w:suppressAutoHyphens/>
        <w:ind w:left="1440" w:hanging="1440"/>
        <w:jc w:val="both"/>
      </w:pPr>
    </w:p>
    <w:p w:rsidR="0019180C" w:rsidRDefault="0019180C">
      <w:pPr>
        <w:pStyle w:val="Heading3"/>
      </w:pPr>
      <w:r>
        <w:t>Quarterly Net Emissions Change (QNEC)</w:t>
      </w:r>
    </w:p>
    <w:p w:rsidR="0019180C" w:rsidRDefault="0019180C">
      <w:pPr>
        <w:autoSpaceDE w:val="0"/>
        <w:autoSpaceDN w:val="0"/>
        <w:adjustRightInd w:val="0"/>
        <w:ind w:left="1296"/>
        <w:rPr>
          <w:bCs/>
          <w:color w:val="000000"/>
        </w:rPr>
      </w:pPr>
    </w:p>
    <w:p w:rsidR="0019180C" w:rsidRDefault="0019180C">
      <w:pPr>
        <w:pStyle w:val="BodyTextIndent"/>
        <w:suppressAutoHyphens w:val="0"/>
        <w:rPr>
          <w:rFonts w:cs="Arial"/>
          <w:spacing w:val="0"/>
        </w:rPr>
      </w:pPr>
      <w:r>
        <w:rPr>
          <w:rFonts w:cs="Arial"/>
          <w:spacing w:val="0"/>
        </w:rPr>
        <w:t>The QNEC is entered into PAS database and subsequently reported to CARB.  The QNEC is calculated for each pollutant, for each unit, as the difference between the post-project quarterly permitted emissions and the quarterly baseline emissions.</w:t>
      </w:r>
    </w:p>
    <w:p w:rsidR="0019180C" w:rsidRDefault="0019180C">
      <w:pPr>
        <w:ind w:left="1080"/>
        <w:rPr>
          <w:rFonts w:cs="Arial"/>
        </w:rPr>
      </w:pPr>
    </w:p>
    <w:p w:rsidR="0019180C" w:rsidRDefault="0019180C">
      <w:pPr>
        <w:ind w:left="720"/>
        <w:rPr>
          <w:rFonts w:cs="Arial"/>
          <w:b/>
          <w:bCs/>
          <w:color w:val="000000"/>
          <w:szCs w:val="18"/>
        </w:rPr>
      </w:pPr>
      <w:r>
        <w:rPr>
          <w:rFonts w:cs="Arial"/>
          <w:color w:val="000000"/>
          <w:szCs w:val="18"/>
        </w:rPr>
        <w:t xml:space="preserve">QNEC = </w:t>
      </w:r>
      <w:r>
        <w:rPr>
          <w:rFonts w:cs="Arial"/>
          <w:color w:val="0000FF"/>
          <w:szCs w:val="18"/>
        </w:rPr>
        <w:t>PE</w:t>
      </w:r>
      <w:r>
        <w:rPr>
          <w:rFonts w:cs="Arial"/>
          <w:color w:val="0000FF"/>
          <w:szCs w:val="18"/>
          <w:vertAlign w:val="subscript"/>
        </w:rPr>
        <w:t>2</w:t>
      </w:r>
      <w:r>
        <w:rPr>
          <w:rFonts w:cs="Arial"/>
          <w:color w:val="000000"/>
          <w:szCs w:val="18"/>
        </w:rPr>
        <w:t xml:space="preserve"> (lb-VOC/qtr) – </w:t>
      </w:r>
      <w:r>
        <w:rPr>
          <w:rFonts w:cs="Arial"/>
          <w:color w:val="0000FF"/>
          <w:szCs w:val="18"/>
        </w:rPr>
        <w:t>BE</w:t>
      </w:r>
      <w:r>
        <w:rPr>
          <w:rFonts w:cs="Arial"/>
          <w:color w:val="000000"/>
          <w:szCs w:val="18"/>
        </w:rPr>
        <w:t xml:space="preserve"> (lb-VOC/qtr) </w:t>
      </w:r>
    </w:p>
    <w:p w:rsidR="0019180C" w:rsidRDefault="0019180C">
      <w:pPr>
        <w:ind w:left="1080"/>
        <w:rPr>
          <w:rFonts w:cs="Arial"/>
          <w:bCs/>
          <w:color w:val="000000"/>
          <w:szCs w:val="18"/>
        </w:rPr>
      </w:pPr>
    </w:p>
    <w:tbl>
      <w:tblPr>
        <w:tblW w:w="0" w:type="auto"/>
        <w:tblInd w:w="10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0"/>
        <w:gridCol w:w="1181"/>
        <w:gridCol w:w="1182"/>
        <w:gridCol w:w="1181"/>
        <w:gridCol w:w="1182"/>
        <w:gridCol w:w="1182"/>
      </w:tblGrid>
      <w:tr w:rsidR="0019180C" w:rsidTr="00B031E6">
        <w:trPr>
          <w:cantSplit/>
          <w:trHeight w:val="258"/>
        </w:trPr>
        <w:tc>
          <w:tcPr>
            <w:tcW w:w="7978" w:type="dxa"/>
            <w:gridSpan w:val="6"/>
            <w:tcBorders>
              <w:top w:val="double" w:sz="4" w:space="0" w:color="auto"/>
              <w:left w:val="double" w:sz="4" w:space="0" w:color="auto"/>
              <w:bottom w:val="nil"/>
              <w:right w:val="double" w:sz="4" w:space="0" w:color="auto"/>
            </w:tcBorders>
            <w:shd w:val="clear" w:color="auto" w:fill="auto"/>
            <w:vAlign w:val="center"/>
          </w:tcPr>
          <w:p w:rsidR="0019180C" w:rsidRDefault="0019180C">
            <w:pPr>
              <w:tabs>
                <w:tab w:val="left" w:pos="878"/>
                <w:tab w:val="center" w:pos="3460"/>
              </w:tabs>
              <w:spacing w:before="40" w:after="40"/>
              <w:jc w:val="center"/>
            </w:pPr>
            <w:r>
              <w:rPr>
                <w:b/>
              </w:rPr>
              <w:t>Quarterly Net Emissions Change (QNEC) (lb/qtr)</w:t>
            </w:r>
          </w:p>
        </w:tc>
      </w:tr>
      <w:tr w:rsidR="0019180C" w:rsidTr="00B031E6">
        <w:trPr>
          <w:trHeight w:val="258"/>
        </w:trPr>
        <w:tc>
          <w:tcPr>
            <w:tcW w:w="2070" w:type="dxa"/>
            <w:tcBorders>
              <w:top w:val="double" w:sz="4" w:space="0" w:color="auto"/>
              <w:left w:val="double" w:sz="4" w:space="0" w:color="auto"/>
              <w:bottom w:val="double" w:sz="4" w:space="0" w:color="auto"/>
              <w:right w:val="single" w:sz="4" w:space="0" w:color="auto"/>
            </w:tcBorders>
            <w:shd w:val="clear" w:color="auto" w:fill="auto"/>
          </w:tcPr>
          <w:p w:rsidR="0019180C" w:rsidRDefault="0019180C">
            <w:pPr>
              <w:jc w:val="center"/>
              <w:rPr>
                <w:b/>
                <w:bCs/>
              </w:rPr>
            </w:pPr>
            <w:r>
              <w:rPr>
                <w:b/>
                <w:bCs/>
              </w:rPr>
              <w:t>Permit Number</w:t>
            </w:r>
          </w:p>
        </w:tc>
        <w:tc>
          <w:tcPr>
            <w:tcW w:w="1181" w:type="dxa"/>
            <w:tcBorders>
              <w:top w:val="double" w:sz="4" w:space="0" w:color="auto"/>
              <w:left w:val="single" w:sz="4" w:space="0" w:color="auto"/>
              <w:bottom w:val="double" w:sz="4" w:space="0" w:color="auto"/>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NO</w:t>
            </w:r>
            <w:r>
              <w:rPr>
                <w:b/>
                <w:bCs/>
                <w:vertAlign w:val="subscript"/>
              </w:rPr>
              <w:t>x</w:t>
            </w:r>
          </w:p>
        </w:tc>
        <w:tc>
          <w:tcPr>
            <w:tcW w:w="1182" w:type="dxa"/>
            <w:tcBorders>
              <w:top w:val="double" w:sz="4" w:space="0" w:color="auto"/>
              <w:bottom w:val="double" w:sz="4" w:space="0" w:color="auto"/>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SO</w:t>
            </w:r>
            <w:r>
              <w:rPr>
                <w:b/>
                <w:bCs/>
                <w:vertAlign w:val="subscript"/>
              </w:rPr>
              <w:t>x</w:t>
            </w:r>
          </w:p>
        </w:tc>
        <w:tc>
          <w:tcPr>
            <w:tcW w:w="1181" w:type="dxa"/>
            <w:tcBorders>
              <w:top w:val="double" w:sz="4" w:space="0" w:color="auto"/>
              <w:bottom w:val="double" w:sz="4" w:space="0" w:color="auto"/>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vertAlign w:val="subscript"/>
              </w:rPr>
            </w:pPr>
            <w:r>
              <w:rPr>
                <w:b/>
                <w:bCs/>
              </w:rPr>
              <w:t>PM</w:t>
            </w:r>
            <w:r>
              <w:rPr>
                <w:b/>
                <w:bCs/>
                <w:vertAlign w:val="subscript"/>
              </w:rPr>
              <w:t>10</w:t>
            </w:r>
          </w:p>
        </w:tc>
        <w:tc>
          <w:tcPr>
            <w:tcW w:w="1182" w:type="dxa"/>
            <w:tcBorders>
              <w:top w:val="double" w:sz="4" w:space="0" w:color="auto"/>
              <w:bottom w:val="double" w:sz="4" w:space="0" w:color="auto"/>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CO</w:t>
            </w:r>
          </w:p>
        </w:tc>
        <w:tc>
          <w:tcPr>
            <w:tcW w:w="1182" w:type="dxa"/>
            <w:tcBorders>
              <w:top w:val="double" w:sz="4" w:space="0" w:color="auto"/>
              <w:bottom w:val="double" w:sz="4" w:space="0" w:color="auto"/>
              <w:right w:val="double" w:sz="4" w:space="0" w:color="auto"/>
            </w:tcBorders>
            <w:shd w:val="clear" w:color="auto" w:fill="auto"/>
            <w:vAlign w:val="center"/>
          </w:tcPr>
          <w:p w:rsidR="0019180C" w:rsidRDefault="00191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VOC</w:t>
            </w:r>
          </w:p>
        </w:tc>
      </w:tr>
      <w:tr w:rsidR="0019180C">
        <w:trPr>
          <w:trHeight w:val="278"/>
        </w:trPr>
        <w:tc>
          <w:tcPr>
            <w:tcW w:w="2070" w:type="dxa"/>
            <w:tcBorders>
              <w:top w:val="double" w:sz="4" w:space="0" w:color="auto"/>
              <w:left w:val="double" w:sz="4" w:space="0" w:color="auto"/>
              <w:bottom w:val="double" w:sz="4" w:space="0" w:color="auto"/>
              <w:right w:val="single" w:sz="4" w:space="0" w:color="auto"/>
            </w:tcBorders>
          </w:tcPr>
          <w:p w:rsidR="0019180C" w:rsidRDefault="0019180C">
            <w:pPr>
              <w:jc w:val="center"/>
              <w:rPr>
                <w:color w:val="0000FF"/>
              </w:rPr>
            </w:pPr>
            <w:r>
              <w:rPr>
                <w:color w:val="0000FF"/>
              </w:rPr>
              <w:t>C-xxxx-xx</w:t>
            </w:r>
          </w:p>
        </w:tc>
        <w:tc>
          <w:tcPr>
            <w:tcW w:w="1181" w:type="dxa"/>
            <w:tcBorders>
              <w:top w:val="single" w:sz="4" w:space="0" w:color="auto"/>
              <w:left w:val="single" w:sz="4" w:space="0" w:color="auto"/>
              <w:bottom w:val="double" w:sz="4" w:space="0" w:color="auto"/>
            </w:tcBorders>
          </w:tcPr>
          <w:p w:rsidR="0019180C" w:rsidRDefault="0019180C">
            <w:pPr>
              <w:jc w:val="center"/>
              <w:rPr>
                <w:color w:val="0000FF"/>
              </w:rPr>
            </w:pPr>
            <w:r>
              <w:rPr>
                <w:color w:val="0000FF"/>
              </w:rPr>
              <w:t>0</w:t>
            </w:r>
          </w:p>
        </w:tc>
        <w:tc>
          <w:tcPr>
            <w:tcW w:w="1182" w:type="dxa"/>
            <w:tcBorders>
              <w:top w:val="single" w:sz="4" w:space="0" w:color="auto"/>
              <w:bottom w:val="double" w:sz="4" w:space="0" w:color="auto"/>
            </w:tcBorders>
          </w:tcPr>
          <w:p w:rsidR="0019180C" w:rsidRDefault="0019180C">
            <w:pPr>
              <w:jc w:val="center"/>
              <w:rPr>
                <w:color w:val="0000FF"/>
              </w:rPr>
            </w:pPr>
            <w:r>
              <w:rPr>
                <w:color w:val="0000FF"/>
              </w:rPr>
              <w:t>0</w:t>
            </w:r>
          </w:p>
        </w:tc>
        <w:tc>
          <w:tcPr>
            <w:tcW w:w="1181" w:type="dxa"/>
            <w:tcBorders>
              <w:top w:val="single" w:sz="4" w:space="0" w:color="auto"/>
              <w:bottom w:val="double" w:sz="4" w:space="0" w:color="auto"/>
            </w:tcBorders>
          </w:tcPr>
          <w:p w:rsidR="0019180C" w:rsidRDefault="0019180C">
            <w:pPr>
              <w:jc w:val="center"/>
              <w:rPr>
                <w:color w:val="0000FF"/>
              </w:rPr>
            </w:pPr>
            <w:r>
              <w:rPr>
                <w:color w:val="0000FF"/>
              </w:rPr>
              <w:t>0</w:t>
            </w:r>
          </w:p>
        </w:tc>
        <w:tc>
          <w:tcPr>
            <w:tcW w:w="1182" w:type="dxa"/>
            <w:tcBorders>
              <w:top w:val="single" w:sz="4" w:space="0" w:color="auto"/>
              <w:bottom w:val="double" w:sz="4" w:space="0" w:color="auto"/>
            </w:tcBorders>
          </w:tcPr>
          <w:p w:rsidR="0019180C" w:rsidRDefault="0019180C">
            <w:pPr>
              <w:jc w:val="center"/>
              <w:rPr>
                <w:color w:val="0000FF"/>
              </w:rPr>
            </w:pPr>
            <w:r>
              <w:rPr>
                <w:color w:val="0000FF"/>
              </w:rPr>
              <w:t>0</w:t>
            </w:r>
          </w:p>
        </w:tc>
        <w:tc>
          <w:tcPr>
            <w:tcW w:w="1182" w:type="dxa"/>
            <w:tcBorders>
              <w:top w:val="single" w:sz="4" w:space="0" w:color="auto"/>
              <w:bottom w:val="double" w:sz="4" w:space="0" w:color="auto"/>
              <w:right w:val="double" w:sz="4" w:space="0" w:color="auto"/>
            </w:tcBorders>
          </w:tcPr>
          <w:p w:rsidR="0019180C" w:rsidRDefault="0019180C">
            <w:pPr>
              <w:jc w:val="center"/>
              <w:rPr>
                <w:color w:val="0000FF"/>
              </w:rPr>
            </w:pPr>
            <w:r>
              <w:rPr>
                <w:color w:val="0000FF"/>
              </w:rPr>
              <w:t>0</w:t>
            </w:r>
          </w:p>
        </w:tc>
      </w:tr>
    </w:tbl>
    <w:p w:rsidR="0019180C" w:rsidRDefault="0019180C"/>
    <w:p w:rsidR="0019180C" w:rsidRDefault="0019180C">
      <w:pPr>
        <w:pStyle w:val="Heading3"/>
      </w:pPr>
      <w:r>
        <w:t>Major Modification</w:t>
      </w:r>
    </w:p>
    <w:p w:rsidR="0019180C" w:rsidRDefault="0019180C">
      <w:pPr>
        <w:ind w:left="1080"/>
        <w:rPr>
          <w:b/>
          <w:bCs/>
        </w:rPr>
      </w:pPr>
    </w:p>
    <w:p w:rsidR="0019180C" w:rsidRDefault="0019180C">
      <w:pPr>
        <w:suppressAutoHyphens/>
        <w:ind w:left="720"/>
        <w:rPr>
          <w:bCs/>
          <w:spacing w:val="-3"/>
        </w:rPr>
      </w:pPr>
      <w:r>
        <w:rPr>
          <w:noProof/>
        </w:rPr>
        <w:t xml:space="preserve">Major Modification is defined in 40 CFR Part 51.165 as </w:t>
      </w:r>
      <w:r>
        <w:rPr>
          <w:rFonts w:cs="Arial"/>
        </w:rPr>
        <w:t>"</w:t>
      </w:r>
      <w:r>
        <w:rPr>
          <w:rFonts w:cs="Arial"/>
          <w:i/>
          <w:iCs/>
        </w:rPr>
        <w:t>any physical change in or change in the method of operation of a major stationary source that would result in a significant net emissions increase of any pollutant subject to regulation under the Act</w:t>
      </w:r>
      <w:r>
        <w:rPr>
          <w:rFonts w:cs="Arial"/>
        </w:rPr>
        <w:t>."</w:t>
      </w:r>
    </w:p>
    <w:p w:rsidR="0019180C" w:rsidRDefault="0019180C">
      <w:pPr>
        <w:suppressAutoHyphens/>
        <w:ind w:left="720" w:hanging="540"/>
        <w:rPr>
          <w:bCs/>
          <w:spacing w:val="-3"/>
        </w:rPr>
      </w:pPr>
    </w:p>
    <w:p w:rsidR="0019180C" w:rsidRDefault="0019180C">
      <w:pPr>
        <w:suppressAutoHyphens/>
        <w:ind w:left="720"/>
        <w:rPr>
          <w:rFonts w:cs="Arial"/>
          <w:spacing w:val="-3"/>
        </w:rPr>
      </w:pPr>
      <w:r>
        <w:rPr>
          <w:noProof/>
        </w:rPr>
        <w:t>As discussed in Section VII.C.5 above, the facility is not a Major Source for any criteria pollutant; therefore, the project does not constitute a Major Modification.</w:t>
      </w:r>
    </w:p>
    <w:p w:rsidR="0019180C" w:rsidRDefault="0019180C">
      <w:pPr>
        <w:ind w:left="1080"/>
        <w:rPr>
          <w:b/>
          <w:bCs/>
        </w:rPr>
      </w:pPr>
    </w:p>
    <w:p w:rsidR="003B063E" w:rsidRPr="009448B7" w:rsidRDefault="003B063E" w:rsidP="003B063E">
      <w:pPr>
        <w:shd w:val="clear" w:color="auto" w:fill="FFFFFF"/>
        <w:autoSpaceDE w:val="0"/>
        <w:autoSpaceDN w:val="0"/>
        <w:adjustRightInd w:val="0"/>
        <w:ind w:left="1440" w:hanging="540"/>
        <w:jc w:val="both"/>
        <w:rPr>
          <w:b/>
          <w:bCs/>
          <w:color w:val="000000"/>
        </w:rPr>
      </w:pPr>
      <w:r w:rsidRPr="009448B7">
        <w:rPr>
          <w:b/>
          <w:bCs/>
          <w:color w:val="000000"/>
        </w:rPr>
        <w:t>9.</w:t>
      </w:r>
      <w:r w:rsidRPr="009448B7">
        <w:rPr>
          <w:b/>
          <w:bCs/>
          <w:color w:val="000000"/>
        </w:rPr>
        <w:tab/>
        <w:t>Rule 2410 – Prevention of Significant Deterioration (PSD) Applicability Determination</w:t>
      </w:r>
    </w:p>
    <w:p w:rsidR="003B063E" w:rsidRPr="003B063E" w:rsidRDefault="003B063E" w:rsidP="003B063E">
      <w:pPr>
        <w:shd w:val="clear" w:color="auto" w:fill="FFFFFF"/>
        <w:suppressAutoHyphens/>
        <w:ind w:left="720"/>
        <w:jc w:val="both"/>
        <w:rPr>
          <w:rFonts w:cs="Arial"/>
          <w:noProof/>
          <w:color w:val="000000"/>
        </w:rPr>
      </w:pPr>
    </w:p>
    <w:p w:rsidR="003B063E" w:rsidRPr="009448B7" w:rsidRDefault="003B063E" w:rsidP="003B063E">
      <w:pPr>
        <w:shd w:val="clear" w:color="auto" w:fill="FFFFFF"/>
        <w:suppressAutoHyphens/>
        <w:ind w:left="720"/>
        <w:jc w:val="both"/>
        <w:rPr>
          <w:rFonts w:cs="Arial"/>
          <w:noProof/>
        </w:rPr>
      </w:pPr>
      <w:r w:rsidRPr="009448B7">
        <w:rPr>
          <w:rFonts w:cs="Arial"/>
          <w:noProof/>
        </w:rPr>
        <w:t>Rule 2410 applies to pollutants for which the District is in attainment or for unclasssified, pollutants.  The pollutants addressed in the PSD applicability determination are listed as follows:</w:t>
      </w:r>
    </w:p>
    <w:p w:rsidR="003B063E" w:rsidRPr="009448B7" w:rsidRDefault="003B063E" w:rsidP="003B063E">
      <w:pPr>
        <w:shd w:val="clear" w:color="auto" w:fill="FFFFFF"/>
        <w:suppressAutoHyphens/>
        <w:ind w:left="720"/>
        <w:jc w:val="both"/>
        <w:rPr>
          <w:rFonts w:cs="Arial"/>
          <w:noProof/>
          <w:sz w:val="12"/>
          <w:szCs w:val="12"/>
        </w:rPr>
      </w:pPr>
    </w:p>
    <w:p w:rsidR="003B063E" w:rsidRPr="009448B7" w:rsidRDefault="003B063E" w:rsidP="003B063E">
      <w:pPr>
        <w:numPr>
          <w:ilvl w:val="0"/>
          <w:numId w:val="20"/>
        </w:numPr>
        <w:shd w:val="clear" w:color="auto" w:fill="FFFFFF"/>
        <w:suppressAutoHyphens/>
        <w:contextualSpacing/>
        <w:jc w:val="both"/>
        <w:rPr>
          <w:rFonts w:cs="Arial"/>
          <w:noProof/>
        </w:rPr>
      </w:pPr>
      <w:r w:rsidRPr="009448B7">
        <w:rPr>
          <w:rFonts w:cs="Arial"/>
          <w:noProof/>
        </w:rPr>
        <w:t>NO2 (as a primary pollutant)</w:t>
      </w:r>
    </w:p>
    <w:p w:rsidR="003B063E" w:rsidRPr="009448B7" w:rsidRDefault="003B063E" w:rsidP="003B063E">
      <w:pPr>
        <w:numPr>
          <w:ilvl w:val="0"/>
          <w:numId w:val="20"/>
        </w:numPr>
        <w:shd w:val="clear" w:color="auto" w:fill="FFFFFF"/>
        <w:suppressAutoHyphens/>
        <w:contextualSpacing/>
        <w:jc w:val="both"/>
        <w:rPr>
          <w:rFonts w:cs="Arial"/>
          <w:noProof/>
        </w:rPr>
      </w:pPr>
      <w:r w:rsidRPr="009448B7">
        <w:rPr>
          <w:rFonts w:cs="Arial"/>
          <w:noProof/>
        </w:rPr>
        <w:t>SO2 (as a primary pollutant)</w:t>
      </w:r>
    </w:p>
    <w:p w:rsidR="003B063E" w:rsidRPr="009448B7" w:rsidRDefault="003B063E" w:rsidP="003B063E">
      <w:pPr>
        <w:numPr>
          <w:ilvl w:val="0"/>
          <w:numId w:val="20"/>
        </w:numPr>
        <w:shd w:val="clear" w:color="auto" w:fill="FFFFFF"/>
        <w:suppressAutoHyphens/>
        <w:contextualSpacing/>
        <w:jc w:val="both"/>
        <w:rPr>
          <w:rFonts w:cs="Arial"/>
          <w:noProof/>
        </w:rPr>
      </w:pPr>
      <w:r w:rsidRPr="009448B7">
        <w:rPr>
          <w:rFonts w:cs="Arial"/>
          <w:noProof/>
        </w:rPr>
        <w:lastRenderedPageBreak/>
        <w:t>CO</w:t>
      </w:r>
    </w:p>
    <w:p w:rsidR="003B063E" w:rsidRPr="009448B7" w:rsidRDefault="003B063E" w:rsidP="003B063E">
      <w:pPr>
        <w:numPr>
          <w:ilvl w:val="0"/>
          <w:numId w:val="20"/>
        </w:numPr>
        <w:shd w:val="clear" w:color="auto" w:fill="FFFFFF"/>
        <w:suppressAutoHyphens/>
        <w:contextualSpacing/>
        <w:jc w:val="both"/>
        <w:rPr>
          <w:rFonts w:cs="Arial"/>
          <w:noProof/>
        </w:rPr>
      </w:pPr>
      <w:r w:rsidRPr="009448B7">
        <w:rPr>
          <w:rFonts w:cs="Arial"/>
          <w:noProof/>
        </w:rPr>
        <w:t>PM</w:t>
      </w:r>
    </w:p>
    <w:p w:rsidR="003B063E" w:rsidRPr="009448B7" w:rsidRDefault="003B063E" w:rsidP="003B063E">
      <w:pPr>
        <w:numPr>
          <w:ilvl w:val="0"/>
          <w:numId w:val="20"/>
        </w:numPr>
        <w:shd w:val="clear" w:color="auto" w:fill="FFFFFF"/>
        <w:suppressAutoHyphens/>
        <w:contextualSpacing/>
        <w:jc w:val="both"/>
        <w:rPr>
          <w:rFonts w:cs="Arial"/>
          <w:noProof/>
        </w:rPr>
      </w:pPr>
      <w:r w:rsidRPr="009448B7">
        <w:rPr>
          <w:rFonts w:cs="Arial"/>
          <w:noProof/>
        </w:rPr>
        <w:t>PM10</w:t>
      </w:r>
    </w:p>
    <w:p w:rsidR="003B063E" w:rsidRPr="009448B7" w:rsidRDefault="003B063E" w:rsidP="003B063E">
      <w:pPr>
        <w:numPr>
          <w:ilvl w:val="0"/>
          <w:numId w:val="20"/>
        </w:numPr>
        <w:shd w:val="clear" w:color="auto" w:fill="FFFFFF"/>
        <w:suppressAutoHyphens/>
        <w:contextualSpacing/>
        <w:jc w:val="both"/>
        <w:rPr>
          <w:rFonts w:cs="Arial"/>
          <w:noProof/>
        </w:rPr>
      </w:pPr>
      <w:r w:rsidRPr="009448B7">
        <w:rPr>
          <w:rFonts w:cs="Arial"/>
          <w:noProof/>
        </w:rPr>
        <w:t>Greenhouse gases (GHG):  CO2, N2O, CH4, HFCs, PFCs, and SF6</w:t>
      </w:r>
    </w:p>
    <w:p w:rsidR="003B063E" w:rsidRPr="009448B7" w:rsidRDefault="003B063E" w:rsidP="003B063E">
      <w:pPr>
        <w:shd w:val="clear" w:color="auto" w:fill="FFFFFF"/>
        <w:suppressAutoHyphens/>
        <w:ind w:left="720"/>
        <w:jc w:val="both"/>
        <w:rPr>
          <w:rFonts w:cs="Arial"/>
          <w:noProof/>
        </w:rPr>
      </w:pPr>
    </w:p>
    <w:p w:rsidR="003B063E" w:rsidRPr="009448B7" w:rsidRDefault="003B063E" w:rsidP="003B063E">
      <w:pPr>
        <w:shd w:val="clear" w:color="auto" w:fill="FFFFFF"/>
        <w:suppressAutoHyphens/>
        <w:ind w:left="720"/>
        <w:jc w:val="both"/>
        <w:rPr>
          <w:rFonts w:cs="Arial"/>
          <w:noProof/>
        </w:rPr>
      </w:pPr>
      <w:r w:rsidRPr="009448B7">
        <w:rPr>
          <w:rFonts w:cs="Arial"/>
          <w:noProof/>
        </w:rPr>
        <w:t>The first step of this PSD evaluation consists of determining whether the facility is an existing PSD Major Source or not (See Section Vll.C.5 of this document).</w:t>
      </w:r>
    </w:p>
    <w:p w:rsidR="003B063E" w:rsidRPr="009448B7" w:rsidRDefault="003B063E" w:rsidP="003B063E">
      <w:pPr>
        <w:shd w:val="clear" w:color="auto" w:fill="FFFFFF"/>
        <w:suppressAutoHyphens/>
        <w:ind w:left="720"/>
        <w:jc w:val="both"/>
        <w:rPr>
          <w:rFonts w:cs="Arial"/>
          <w:noProof/>
        </w:rPr>
      </w:pPr>
    </w:p>
    <w:p w:rsidR="003B063E" w:rsidRPr="009448B7" w:rsidRDefault="003B063E" w:rsidP="003B063E">
      <w:pPr>
        <w:shd w:val="clear" w:color="auto" w:fill="FFFFFF"/>
        <w:suppressAutoHyphens/>
        <w:ind w:left="720"/>
        <w:jc w:val="both"/>
        <w:rPr>
          <w:rFonts w:cs="Arial"/>
          <w:noProof/>
        </w:rPr>
      </w:pPr>
      <w:r w:rsidRPr="009448B7">
        <w:rPr>
          <w:rFonts w:cs="Arial"/>
          <w:noProof/>
        </w:rPr>
        <w:t>In the case the facility is an existing PSD Major Source, the second step of the PSD evaluation is to determine if the project results in a PSD significant increase.</w:t>
      </w:r>
    </w:p>
    <w:p w:rsidR="003B063E" w:rsidRPr="009448B7" w:rsidRDefault="003B063E" w:rsidP="003B063E">
      <w:pPr>
        <w:shd w:val="clear" w:color="auto" w:fill="FFFFFF"/>
        <w:suppressAutoHyphens/>
        <w:ind w:left="720"/>
        <w:jc w:val="both"/>
        <w:rPr>
          <w:rFonts w:cs="Arial"/>
          <w:noProof/>
        </w:rPr>
      </w:pPr>
    </w:p>
    <w:p w:rsidR="003B063E" w:rsidRPr="009448B7" w:rsidRDefault="003B063E" w:rsidP="003B063E">
      <w:pPr>
        <w:shd w:val="clear" w:color="auto" w:fill="FFFFFF"/>
        <w:suppressAutoHyphens/>
        <w:ind w:left="720"/>
        <w:jc w:val="both"/>
        <w:rPr>
          <w:rFonts w:cs="Arial"/>
          <w:noProof/>
        </w:rPr>
      </w:pPr>
      <w:r w:rsidRPr="009448B7">
        <w:rPr>
          <w:rFonts w:cs="Arial"/>
          <w:noProof/>
        </w:rPr>
        <w:t>In the case the facility is NOT an existing PSD Major Source but is an existing source, the second step of the PSD evaluation is to determine if the project, by itself, would be a PSD major source.</w:t>
      </w:r>
    </w:p>
    <w:p w:rsidR="003B063E" w:rsidRPr="009448B7" w:rsidRDefault="003B063E" w:rsidP="003B063E">
      <w:pPr>
        <w:shd w:val="clear" w:color="auto" w:fill="FFFFFF"/>
        <w:suppressAutoHyphens/>
        <w:ind w:left="720"/>
        <w:jc w:val="both"/>
        <w:rPr>
          <w:rFonts w:cs="Arial"/>
          <w:noProof/>
        </w:rPr>
      </w:pPr>
    </w:p>
    <w:p w:rsidR="003B063E" w:rsidRPr="009448B7" w:rsidRDefault="003B063E" w:rsidP="003B063E">
      <w:pPr>
        <w:shd w:val="clear" w:color="auto" w:fill="FFFFFF"/>
        <w:suppressAutoHyphens/>
        <w:ind w:left="720"/>
        <w:jc w:val="both"/>
        <w:rPr>
          <w:rFonts w:cs="Arial"/>
          <w:noProof/>
        </w:rPr>
      </w:pPr>
      <w:r w:rsidRPr="009448B7">
        <w:rPr>
          <w:rFonts w:cs="Arial"/>
          <w:noProof/>
        </w:rPr>
        <w:t>In the case the facility is new source, the second step of the PSD evaluation is to determine if this new facility will become a new PSD major Source as a result of the project and if so, to determine which pollutant will result in a PSD significant increase.</w:t>
      </w:r>
    </w:p>
    <w:p w:rsidR="003B063E" w:rsidRPr="009448B7" w:rsidRDefault="003B063E" w:rsidP="003B063E">
      <w:pPr>
        <w:shd w:val="clear" w:color="auto" w:fill="FFFFFF"/>
        <w:suppressAutoHyphens/>
        <w:ind w:left="720"/>
        <w:jc w:val="both"/>
        <w:rPr>
          <w:rFonts w:cs="Arial"/>
          <w:noProof/>
        </w:rPr>
      </w:pPr>
    </w:p>
    <w:p w:rsidR="003B063E" w:rsidRPr="003B063E" w:rsidRDefault="003B063E" w:rsidP="003B063E">
      <w:pPr>
        <w:shd w:val="clear" w:color="auto" w:fill="FFFFFF"/>
        <w:suppressAutoHyphens/>
        <w:ind w:left="1080"/>
        <w:contextualSpacing/>
        <w:jc w:val="both"/>
        <w:rPr>
          <w:rFonts w:cs="Arial"/>
          <w:noProof/>
          <w:color w:val="000000"/>
        </w:rPr>
      </w:pPr>
    </w:p>
    <w:p w:rsidR="003B063E" w:rsidRPr="009448B7" w:rsidRDefault="003B063E" w:rsidP="003B063E">
      <w:pPr>
        <w:numPr>
          <w:ilvl w:val="0"/>
          <w:numId w:val="19"/>
        </w:numPr>
        <w:shd w:val="clear" w:color="auto" w:fill="FFFFFF"/>
        <w:suppressAutoHyphens/>
        <w:ind w:left="1080"/>
        <w:contextualSpacing/>
        <w:jc w:val="both"/>
        <w:rPr>
          <w:rFonts w:cs="Arial"/>
          <w:b/>
          <w:noProof/>
        </w:rPr>
      </w:pPr>
      <w:r w:rsidRPr="009448B7">
        <w:rPr>
          <w:rFonts w:cs="Arial"/>
          <w:b/>
          <w:noProof/>
        </w:rPr>
        <w:t xml:space="preserve">Potential to Emit for New or </w:t>
      </w:r>
      <w:r w:rsidRPr="009448B7">
        <w:rPr>
          <w:rFonts w:cs="Arial"/>
          <w:b/>
          <w:noProof/>
          <w:u w:val="single"/>
        </w:rPr>
        <w:t>Modified</w:t>
      </w:r>
      <w:r w:rsidRPr="009448B7">
        <w:rPr>
          <w:rFonts w:cs="Arial"/>
          <w:b/>
          <w:noProof/>
        </w:rPr>
        <w:t xml:space="preserve"> Emission Units vs PSD Major Source Thresholds</w:t>
      </w:r>
    </w:p>
    <w:p w:rsidR="003B063E" w:rsidRPr="003B063E" w:rsidRDefault="003B063E" w:rsidP="003B063E">
      <w:pPr>
        <w:suppressAutoHyphens/>
        <w:ind w:left="1080"/>
        <w:jc w:val="both"/>
        <w:rPr>
          <w:rFonts w:cs="Arial"/>
          <w:noProof/>
          <w:color w:val="4F81BD"/>
        </w:rPr>
      </w:pPr>
    </w:p>
    <w:p w:rsidR="003B063E" w:rsidRPr="009448B7" w:rsidRDefault="003B063E" w:rsidP="003B063E">
      <w:pPr>
        <w:suppressAutoHyphens/>
        <w:ind w:left="1080"/>
        <w:contextualSpacing/>
        <w:jc w:val="both"/>
        <w:rPr>
          <w:rFonts w:cs="Arial"/>
          <w:noProof/>
        </w:rPr>
      </w:pPr>
      <w:r w:rsidRPr="009448B7">
        <w:rPr>
          <w:rFonts w:cs="Arial"/>
          <w:noProof/>
        </w:rPr>
        <w:t xml:space="preserve">As a screening tool, the project potential to emit from all new and modified units is compared to the PSD major source threshold, and if total project potential to emit from all new and modified units is below this threshold, no futher analysis will be needed.  </w:t>
      </w:r>
    </w:p>
    <w:p w:rsidR="003B063E" w:rsidRPr="009448B7" w:rsidRDefault="003B063E" w:rsidP="003B063E">
      <w:pPr>
        <w:suppressAutoHyphens/>
        <w:ind w:left="1080"/>
        <w:jc w:val="both"/>
        <w:rPr>
          <w:rFonts w:cs="Arial"/>
          <w:noProof/>
        </w:rPr>
      </w:pPr>
    </w:p>
    <w:p w:rsidR="003B063E" w:rsidRDefault="003B063E" w:rsidP="003B063E">
      <w:pPr>
        <w:suppressAutoHyphens/>
        <w:ind w:left="1080"/>
        <w:jc w:val="both"/>
        <w:rPr>
          <w:bCs/>
          <w:iCs/>
        </w:rPr>
      </w:pPr>
      <w:r w:rsidRPr="009448B7">
        <w:rPr>
          <w:rFonts w:cs="Arial"/>
          <w:noProof/>
        </w:rPr>
        <w:t xml:space="preserve">The facility or the equipment evaluated under this project is not listed as one of the categories specified in </w:t>
      </w:r>
      <w:r w:rsidRPr="009448B7">
        <w:rPr>
          <w:bCs/>
          <w:iCs/>
        </w:rPr>
        <w:t>40 CFR 52.21 (b)(1)(i).  Therefore the following PSD Major Source thresholds are applicable.</w:t>
      </w:r>
    </w:p>
    <w:p w:rsidR="003B063E" w:rsidRPr="000643CB" w:rsidRDefault="003B063E" w:rsidP="003B063E">
      <w:pPr>
        <w:suppressAutoHyphens/>
        <w:ind w:left="1080"/>
        <w:jc w:val="both"/>
        <w:rPr>
          <w:rFonts w:cs="Arial"/>
          <w:i/>
          <w:noProof/>
        </w:rPr>
      </w:pPr>
      <w:r>
        <w:rPr>
          <w:bCs/>
          <w:i/>
          <w:iCs/>
          <w:color w:val="FF0000"/>
        </w:rPr>
        <w:t>(</w:t>
      </w:r>
      <w:r w:rsidRPr="000643CB">
        <w:rPr>
          <w:bCs/>
          <w:i/>
          <w:iCs/>
          <w:color w:val="FF0000"/>
        </w:rPr>
        <w:t>Enter VOC emissions</w:t>
      </w:r>
      <w:r>
        <w:rPr>
          <w:bCs/>
          <w:i/>
          <w:iCs/>
          <w:color w:val="FF0000"/>
        </w:rPr>
        <w:t>)</w:t>
      </w:r>
    </w:p>
    <w:p w:rsidR="003B063E" w:rsidRPr="009448B7" w:rsidRDefault="003B063E" w:rsidP="003B063E">
      <w:pPr>
        <w:suppressAutoHyphens/>
        <w:ind w:left="1080"/>
        <w:jc w:val="both"/>
        <w:rPr>
          <w:rFonts w:cs="Arial"/>
          <w:noProof/>
        </w:rPr>
      </w:pPr>
    </w:p>
    <w:tbl>
      <w:tblPr>
        <w:tblW w:w="9360" w:type="dxa"/>
        <w:tblInd w:w="1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420"/>
        <w:gridCol w:w="810"/>
        <w:gridCol w:w="810"/>
        <w:gridCol w:w="827"/>
        <w:gridCol w:w="703"/>
        <w:gridCol w:w="720"/>
        <w:gridCol w:w="810"/>
        <w:gridCol w:w="1260"/>
      </w:tblGrid>
      <w:tr w:rsidR="003B063E" w:rsidRPr="009448B7" w:rsidTr="00B031E6">
        <w:trPr>
          <w:trHeight w:val="618"/>
        </w:trPr>
        <w:tc>
          <w:tcPr>
            <w:tcW w:w="9360" w:type="dxa"/>
            <w:gridSpan w:val="8"/>
            <w:tcBorders>
              <w:top w:val="double" w:sz="4" w:space="0" w:color="auto"/>
              <w:bottom w:val="double" w:sz="4" w:space="0" w:color="auto"/>
            </w:tcBorders>
            <w:shd w:val="clear" w:color="auto" w:fill="auto"/>
            <w:vAlign w:val="center"/>
          </w:tcPr>
          <w:p w:rsidR="003B063E" w:rsidRPr="00B40CD6" w:rsidRDefault="003B063E" w:rsidP="00B40CD6">
            <w:pPr>
              <w:jc w:val="both"/>
              <w:rPr>
                <w:sz w:val="22"/>
                <w:szCs w:val="22"/>
              </w:rPr>
            </w:pPr>
            <w:r w:rsidRPr="00B40CD6">
              <w:rPr>
                <w:sz w:val="22"/>
                <w:szCs w:val="22"/>
              </w:rPr>
              <w:t>PSD Major Source Determination: Potential to Emit</w:t>
            </w:r>
          </w:p>
          <w:p w:rsidR="003B063E" w:rsidRPr="00B40CD6" w:rsidRDefault="003B063E" w:rsidP="00B40CD6">
            <w:pPr>
              <w:jc w:val="both"/>
              <w:rPr>
                <w:rFonts w:cs="Arial"/>
                <w:noProof/>
                <w:color w:val="000000"/>
                <w:sz w:val="22"/>
                <w:szCs w:val="22"/>
              </w:rPr>
            </w:pPr>
            <w:r w:rsidRPr="00B40CD6">
              <w:rPr>
                <w:sz w:val="22"/>
                <w:szCs w:val="22"/>
              </w:rPr>
              <w:t>(tons/year)</w:t>
            </w:r>
          </w:p>
        </w:tc>
      </w:tr>
      <w:tr w:rsidR="003B063E" w:rsidRPr="009448B7" w:rsidTr="00B031E6">
        <w:trPr>
          <w:trHeight w:val="447"/>
        </w:trPr>
        <w:tc>
          <w:tcPr>
            <w:tcW w:w="3420" w:type="dxa"/>
            <w:tcBorders>
              <w:top w:val="double" w:sz="4" w:space="0" w:color="auto"/>
              <w:bottom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p>
        </w:tc>
        <w:tc>
          <w:tcPr>
            <w:tcW w:w="810" w:type="dxa"/>
            <w:tcBorders>
              <w:top w:val="double" w:sz="4" w:space="0" w:color="auto"/>
              <w:bottom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NO2</w:t>
            </w:r>
          </w:p>
        </w:tc>
        <w:tc>
          <w:tcPr>
            <w:tcW w:w="810" w:type="dxa"/>
            <w:tcBorders>
              <w:top w:val="double" w:sz="4" w:space="0" w:color="auto"/>
              <w:bottom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VOC</w:t>
            </w:r>
          </w:p>
        </w:tc>
        <w:tc>
          <w:tcPr>
            <w:tcW w:w="827" w:type="dxa"/>
            <w:tcBorders>
              <w:top w:val="double" w:sz="4" w:space="0" w:color="auto"/>
              <w:bottom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SO2</w:t>
            </w:r>
          </w:p>
        </w:tc>
        <w:tc>
          <w:tcPr>
            <w:tcW w:w="703" w:type="dxa"/>
            <w:tcBorders>
              <w:top w:val="double" w:sz="4" w:space="0" w:color="auto"/>
              <w:bottom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CO</w:t>
            </w:r>
          </w:p>
        </w:tc>
        <w:tc>
          <w:tcPr>
            <w:tcW w:w="720" w:type="dxa"/>
            <w:tcBorders>
              <w:top w:val="double" w:sz="4" w:space="0" w:color="auto"/>
              <w:bottom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PM</w:t>
            </w:r>
          </w:p>
        </w:tc>
        <w:tc>
          <w:tcPr>
            <w:tcW w:w="810" w:type="dxa"/>
            <w:tcBorders>
              <w:top w:val="double" w:sz="4" w:space="0" w:color="auto"/>
              <w:bottom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PM10</w:t>
            </w:r>
          </w:p>
        </w:tc>
        <w:tc>
          <w:tcPr>
            <w:tcW w:w="1260" w:type="dxa"/>
            <w:tcBorders>
              <w:top w:val="double" w:sz="4" w:space="0" w:color="auto"/>
              <w:bottom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CO2e</w:t>
            </w:r>
          </w:p>
        </w:tc>
      </w:tr>
      <w:tr w:rsidR="003B063E" w:rsidRPr="009448B7" w:rsidTr="00B40CD6">
        <w:trPr>
          <w:trHeight w:val="609"/>
        </w:trPr>
        <w:tc>
          <w:tcPr>
            <w:tcW w:w="3420" w:type="dxa"/>
            <w:tcBorders>
              <w:top w:val="single" w:sz="12" w:space="0" w:color="auto"/>
              <w:bottom w:val="single" w:sz="4"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sz w:val="22"/>
                <w:szCs w:val="22"/>
              </w:rPr>
              <w:t>Total PE from New and Modified Units</w:t>
            </w:r>
          </w:p>
        </w:tc>
        <w:tc>
          <w:tcPr>
            <w:tcW w:w="810" w:type="dxa"/>
            <w:tcBorders>
              <w:top w:val="single" w:sz="12" w:space="0" w:color="auto"/>
              <w:bottom w:val="single" w:sz="4"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0</w:t>
            </w:r>
          </w:p>
        </w:tc>
        <w:tc>
          <w:tcPr>
            <w:tcW w:w="810" w:type="dxa"/>
            <w:tcBorders>
              <w:top w:val="single" w:sz="12" w:space="0" w:color="auto"/>
              <w:bottom w:val="single" w:sz="4"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FF"/>
                <w:sz w:val="22"/>
                <w:szCs w:val="22"/>
              </w:rPr>
              <w:t>0</w:t>
            </w:r>
          </w:p>
        </w:tc>
        <w:tc>
          <w:tcPr>
            <w:tcW w:w="827" w:type="dxa"/>
            <w:tcBorders>
              <w:top w:val="single" w:sz="12" w:space="0" w:color="auto"/>
              <w:bottom w:val="single" w:sz="4"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0</w:t>
            </w:r>
          </w:p>
        </w:tc>
        <w:tc>
          <w:tcPr>
            <w:tcW w:w="703" w:type="dxa"/>
            <w:tcBorders>
              <w:top w:val="single" w:sz="12" w:space="0" w:color="auto"/>
              <w:bottom w:val="single" w:sz="4"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0</w:t>
            </w:r>
          </w:p>
        </w:tc>
        <w:tc>
          <w:tcPr>
            <w:tcW w:w="720" w:type="dxa"/>
            <w:tcBorders>
              <w:top w:val="single" w:sz="12" w:space="0" w:color="auto"/>
              <w:bottom w:val="single" w:sz="4"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0</w:t>
            </w:r>
          </w:p>
        </w:tc>
        <w:tc>
          <w:tcPr>
            <w:tcW w:w="810" w:type="dxa"/>
            <w:tcBorders>
              <w:top w:val="single" w:sz="12" w:space="0" w:color="auto"/>
              <w:bottom w:val="single" w:sz="4"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0</w:t>
            </w:r>
          </w:p>
        </w:tc>
        <w:tc>
          <w:tcPr>
            <w:tcW w:w="1260" w:type="dxa"/>
            <w:tcBorders>
              <w:top w:val="single" w:sz="12" w:space="0" w:color="auto"/>
              <w:bottom w:val="single" w:sz="4"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0</w:t>
            </w:r>
          </w:p>
        </w:tc>
      </w:tr>
      <w:tr w:rsidR="003B063E" w:rsidRPr="009448B7" w:rsidTr="00B40CD6">
        <w:trPr>
          <w:trHeight w:val="359"/>
        </w:trPr>
        <w:tc>
          <w:tcPr>
            <w:tcW w:w="3420" w:type="dxa"/>
            <w:tcBorders>
              <w:top w:val="single" w:sz="4" w:space="0" w:color="auto"/>
              <w:bottom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PSD Major Source threshold</w:t>
            </w:r>
          </w:p>
        </w:tc>
        <w:tc>
          <w:tcPr>
            <w:tcW w:w="810" w:type="dxa"/>
            <w:tcBorders>
              <w:top w:val="single" w:sz="4" w:space="0" w:color="auto"/>
              <w:bottom w:val="single" w:sz="12" w:space="0" w:color="auto"/>
            </w:tcBorders>
            <w:shd w:val="clear" w:color="auto" w:fill="auto"/>
            <w:vAlign w:val="center"/>
          </w:tcPr>
          <w:p w:rsidR="003B063E" w:rsidRPr="00B40CD6" w:rsidRDefault="003B063E" w:rsidP="00B40CD6">
            <w:pPr>
              <w:jc w:val="both"/>
              <w:rPr>
                <w:rFonts w:cs="Arial"/>
                <w:noProof/>
                <w:sz w:val="22"/>
                <w:szCs w:val="22"/>
              </w:rPr>
            </w:pPr>
            <w:r w:rsidRPr="00B40CD6">
              <w:rPr>
                <w:rFonts w:cs="Arial"/>
                <w:noProof/>
                <w:sz w:val="22"/>
                <w:szCs w:val="22"/>
              </w:rPr>
              <w:t>250</w:t>
            </w:r>
          </w:p>
        </w:tc>
        <w:tc>
          <w:tcPr>
            <w:tcW w:w="810" w:type="dxa"/>
            <w:tcBorders>
              <w:top w:val="single" w:sz="4" w:space="0" w:color="auto"/>
              <w:bottom w:val="single" w:sz="12" w:space="0" w:color="auto"/>
            </w:tcBorders>
            <w:shd w:val="clear" w:color="auto" w:fill="auto"/>
            <w:vAlign w:val="center"/>
          </w:tcPr>
          <w:p w:rsidR="003B063E" w:rsidRPr="00B40CD6" w:rsidRDefault="003B063E" w:rsidP="00B40CD6">
            <w:pPr>
              <w:jc w:val="both"/>
              <w:rPr>
                <w:rFonts w:cs="Arial"/>
                <w:noProof/>
                <w:sz w:val="22"/>
                <w:szCs w:val="22"/>
              </w:rPr>
            </w:pPr>
            <w:r w:rsidRPr="00B40CD6">
              <w:rPr>
                <w:rFonts w:cs="Arial"/>
                <w:noProof/>
                <w:sz w:val="22"/>
                <w:szCs w:val="22"/>
              </w:rPr>
              <w:t>250</w:t>
            </w:r>
          </w:p>
        </w:tc>
        <w:tc>
          <w:tcPr>
            <w:tcW w:w="827" w:type="dxa"/>
            <w:tcBorders>
              <w:top w:val="single" w:sz="4" w:space="0" w:color="auto"/>
              <w:bottom w:val="single" w:sz="12" w:space="0" w:color="auto"/>
            </w:tcBorders>
            <w:shd w:val="clear" w:color="auto" w:fill="auto"/>
            <w:vAlign w:val="center"/>
          </w:tcPr>
          <w:p w:rsidR="003B063E" w:rsidRPr="00B40CD6" w:rsidRDefault="003B063E" w:rsidP="00B40CD6">
            <w:pPr>
              <w:jc w:val="both"/>
              <w:rPr>
                <w:rFonts w:cs="Arial"/>
                <w:noProof/>
                <w:sz w:val="22"/>
                <w:szCs w:val="22"/>
              </w:rPr>
            </w:pPr>
            <w:r w:rsidRPr="00B40CD6">
              <w:rPr>
                <w:rFonts w:cs="Arial"/>
                <w:noProof/>
                <w:sz w:val="22"/>
                <w:szCs w:val="22"/>
              </w:rPr>
              <w:t>250</w:t>
            </w:r>
          </w:p>
        </w:tc>
        <w:tc>
          <w:tcPr>
            <w:tcW w:w="703" w:type="dxa"/>
            <w:tcBorders>
              <w:top w:val="single" w:sz="4" w:space="0" w:color="auto"/>
              <w:bottom w:val="single" w:sz="12" w:space="0" w:color="auto"/>
            </w:tcBorders>
            <w:shd w:val="clear" w:color="auto" w:fill="auto"/>
            <w:vAlign w:val="center"/>
          </w:tcPr>
          <w:p w:rsidR="003B063E" w:rsidRPr="00B40CD6" w:rsidRDefault="003B063E" w:rsidP="00B40CD6">
            <w:pPr>
              <w:jc w:val="both"/>
              <w:rPr>
                <w:rFonts w:cs="Arial"/>
                <w:noProof/>
                <w:sz w:val="22"/>
                <w:szCs w:val="22"/>
              </w:rPr>
            </w:pPr>
            <w:r w:rsidRPr="00B40CD6">
              <w:rPr>
                <w:rFonts w:cs="Arial"/>
                <w:noProof/>
                <w:sz w:val="22"/>
                <w:szCs w:val="22"/>
              </w:rPr>
              <w:t>250</w:t>
            </w:r>
          </w:p>
        </w:tc>
        <w:tc>
          <w:tcPr>
            <w:tcW w:w="720" w:type="dxa"/>
            <w:tcBorders>
              <w:top w:val="single" w:sz="4" w:space="0" w:color="auto"/>
              <w:bottom w:val="single" w:sz="12" w:space="0" w:color="auto"/>
            </w:tcBorders>
            <w:shd w:val="clear" w:color="auto" w:fill="auto"/>
            <w:vAlign w:val="center"/>
          </w:tcPr>
          <w:p w:rsidR="003B063E" w:rsidRPr="00B40CD6" w:rsidRDefault="003B063E" w:rsidP="00B40CD6">
            <w:pPr>
              <w:jc w:val="both"/>
              <w:rPr>
                <w:rFonts w:cs="Arial"/>
                <w:noProof/>
                <w:sz w:val="22"/>
                <w:szCs w:val="22"/>
              </w:rPr>
            </w:pPr>
            <w:r w:rsidRPr="00B40CD6">
              <w:rPr>
                <w:rFonts w:cs="Arial"/>
                <w:noProof/>
                <w:sz w:val="22"/>
                <w:szCs w:val="22"/>
              </w:rPr>
              <w:t>250</w:t>
            </w:r>
          </w:p>
        </w:tc>
        <w:tc>
          <w:tcPr>
            <w:tcW w:w="810" w:type="dxa"/>
            <w:tcBorders>
              <w:top w:val="single" w:sz="4" w:space="0" w:color="auto"/>
              <w:bottom w:val="single" w:sz="12" w:space="0" w:color="auto"/>
            </w:tcBorders>
            <w:shd w:val="clear" w:color="auto" w:fill="auto"/>
            <w:vAlign w:val="center"/>
          </w:tcPr>
          <w:p w:rsidR="003B063E" w:rsidRPr="00B40CD6" w:rsidRDefault="003B063E" w:rsidP="00B40CD6">
            <w:pPr>
              <w:jc w:val="both"/>
              <w:rPr>
                <w:rFonts w:cs="Arial"/>
                <w:noProof/>
                <w:sz w:val="22"/>
                <w:szCs w:val="22"/>
              </w:rPr>
            </w:pPr>
            <w:r w:rsidRPr="00B40CD6">
              <w:rPr>
                <w:rFonts w:cs="Arial"/>
                <w:noProof/>
                <w:sz w:val="22"/>
                <w:szCs w:val="22"/>
              </w:rPr>
              <w:t>250</w:t>
            </w:r>
          </w:p>
        </w:tc>
        <w:tc>
          <w:tcPr>
            <w:tcW w:w="1260" w:type="dxa"/>
            <w:tcBorders>
              <w:top w:val="single" w:sz="4" w:space="0" w:color="auto"/>
              <w:bottom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100,000</w:t>
            </w:r>
          </w:p>
        </w:tc>
      </w:tr>
      <w:tr w:rsidR="003B063E" w:rsidRPr="009448B7" w:rsidTr="00B40CD6">
        <w:trPr>
          <w:trHeight w:val="456"/>
        </w:trPr>
        <w:tc>
          <w:tcPr>
            <w:tcW w:w="3420" w:type="dxa"/>
            <w:tcBorders>
              <w:top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New PSD Major Source?</w:t>
            </w:r>
          </w:p>
        </w:tc>
        <w:tc>
          <w:tcPr>
            <w:tcW w:w="810" w:type="dxa"/>
            <w:tcBorders>
              <w:top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N</w:t>
            </w:r>
          </w:p>
        </w:tc>
        <w:tc>
          <w:tcPr>
            <w:tcW w:w="810" w:type="dxa"/>
            <w:tcBorders>
              <w:top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N</w:t>
            </w:r>
          </w:p>
        </w:tc>
        <w:tc>
          <w:tcPr>
            <w:tcW w:w="827" w:type="dxa"/>
            <w:tcBorders>
              <w:top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N</w:t>
            </w:r>
          </w:p>
        </w:tc>
        <w:tc>
          <w:tcPr>
            <w:tcW w:w="703" w:type="dxa"/>
            <w:tcBorders>
              <w:top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N</w:t>
            </w:r>
          </w:p>
        </w:tc>
        <w:tc>
          <w:tcPr>
            <w:tcW w:w="720" w:type="dxa"/>
            <w:tcBorders>
              <w:top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N</w:t>
            </w:r>
          </w:p>
        </w:tc>
        <w:tc>
          <w:tcPr>
            <w:tcW w:w="810" w:type="dxa"/>
            <w:tcBorders>
              <w:top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N</w:t>
            </w:r>
          </w:p>
        </w:tc>
        <w:tc>
          <w:tcPr>
            <w:tcW w:w="1260" w:type="dxa"/>
            <w:tcBorders>
              <w:top w:val="single" w:sz="12" w:space="0" w:color="auto"/>
            </w:tcBorders>
            <w:shd w:val="clear" w:color="auto" w:fill="auto"/>
            <w:vAlign w:val="center"/>
          </w:tcPr>
          <w:p w:rsidR="003B063E" w:rsidRPr="00B40CD6" w:rsidRDefault="003B063E" w:rsidP="00B40CD6">
            <w:pPr>
              <w:jc w:val="both"/>
              <w:rPr>
                <w:rFonts w:cs="Arial"/>
                <w:noProof/>
                <w:color w:val="000000"/>
                <w:sz w:val="22"/>
                <w:szCs w:val="22"/>
              </w:rPr>
            </w:pPr>
            <w:r w:rsidRPr="00B40CD6">
              <w:rPr>
                <w:rFonts w:cs="Arial"/>
                <w:noProof/>
                <w:color w:val="000000"/>
                <w:sz w:val="22"/>
                <w:szCs w:val="22"/>
              </w:rPr>
              <w:t>N</w:t>
            </w:r>
          </w:p>
        </w:tc>
      </w:tr>
    </w:tbl>
    <w:p w:rsidR="003B063E" w:rsidRPr="009448B7" w:rsidRDefault="003B063E" w:rsidP="003B063E">
      <w:pPr>
        <w:suppressAutoHyphens/>
        <w:ind w:left="1080"/>
        <w:jc w:val="both"/>
        <w:rPr>
          <w:rFonts w:cs="Arial"/>
          <w:noProof/>
        </w:rPr>
      </w:pPr>
    </w:p>
    <w:p w:rsidR="003B063E" w:rsidRDefault="003B063E" w:rsidP="003B063E">
      <w:pPr>
        <w:suppressAutoHyphens/>
        <w:ind w:left="1080"/>
        <w:jc w:val="both"/>
        <w:rPr>
          <w:rFonts w:cs="Arial"/>
          <w:noProof/>
        </w:rPr>
      </w:pPr>
      <w:r w:rsidRPr="009448B7">
        <w:rPr>
          <w:rFonts w:cs="Arial"/>
          <w:noProof/>
        </w:rPr>
        <w:lastRenderedPageBreak/>
        <w:t>As shown in the table above, the project potential to emit, by itself, does not exceed any of the PSD major source thresholds.  Therefore</w:t>
      </w:r>
      <w:r>
        <w:rPr>
          <w:rFonts w:cs="Arial"/>
          <w:noProof/>
        </w:rPr>
        <w:t>,</w:t>
      </w:r>
      <w:r w:rsidRPr="009448B7">
        <w:rPr>
          <w:rFonts w:cs="Arial"/>
          <w:noProof/>
        </w:rPr>
        <w:t xml:space="preserve"> Rule 2410 is not applicable and no further discussion is required.</w:t>
      </w:r>
    </w:p>
    <w:p w:rsidR="003B063E" w:rsidRDefault="003B063E" w:rsidP="003B063E">
      <w:pPr>
        <w:suppressAutoHyphens/>
        <w:ind w:left="1080"/>
        <w:jc w:val="both"/>
        <w:rPr>
          <w:rFonts w:cs="Arial"/>
          <w:noProof/>
        </w:rPr>
      </w:pPr>
    </w:p>
    <w:p w:rsidR="0019180C" w:rsidRDefault="0019180C" w:rsidP="00612D30">
      <w:pPr>
        <w:pStyle w:val="Heading3"/>
        <w:numPr>
          <w:ilvl w:val="2"/>
          <w:numId w:val="21"/>
        </w:numPr>
      </w:pPr>
      <w:r>
        <w:t>Federal Major Modification</w:t>
      </w:r>
    </w:p>
    <w:p w:rsidR="0019180C" w:rsidRDefault="0019180C">
      <w:pPr>
        <w:ind w:left="900"/>
        <w:rPr>
          <w:b/>
          <w:bCs/>
        </w:rPr>
      </w:pPr>
    </w:p>
    <w:p w:rsidR="0019180C" w:rsidRDefault="0019180C">
      <w:pPr>
        <w:pStyle w:val="BodyTextIndent2"/>
        <w:ind w:left="720"/>
        <w:rPr>
          <w:b/>
          <w:bCs/>
          <w:snapToGrid/>
          <w:spacing w:val="-2"/>
          <w:szCs w:val="18"/>
        </w:rPr>
      </w:pPr>
      <w:r>
        <w:rPr>
          <w:snapToGrid/>
          <w:spacing w:val="-2"/>
          <w:szCs w:val="18"/>
        </w:rPr>
        <w:t>As shown above, this project does not constitute a Major Modification.  Therefore, in accordance with District Rule 2201, Section 3.17, this project does not constitute a Federal Major Modification and no further discussion is required.</w:t>
      </w:r>
    </w:p>
    <w:p w:rsidR="0019180C" w:rsidRDefault="0019180C"/>
    <w:p w:rsidR="0019180C" w:rsidRDefault="0019180C">
      <w:pPr>
        <w:pStyle w:val="Heading1"/>
      </w:pPr>
      <w:r>
        <w:t>Compliance</w:t>
      </w:r>
    </w:p>
    <w:p w:rsidR="0019180C" w:rsidRDefault="0019180C">
      <w:pPr>
        <w:suppressAutoHyphens/>
        <w:jc w:val="both"/>
        <w:rPr>
          <w:b/>
          <w:bCs/>
          <w:spacing w:val="-3"/>
        </w:rPr>
      </w:pPr>
      <w:r>
        <w:rPr>
          <w:spacing w:val="-3"/>
        </w:rPr>
        <w:tab/>
      </w:r>
    </w:p>
    <w:p w:rsidR="0019180C" w:rsidRDefault="0019180C">
      <w:pPr>
        <w:suppressAutoHyphens/>
        <w:jc w:val="both"/>
        <w:rPr>
          <w:b/>
          <w:spacing w:val="-3"/>
        </w:rPr>
      </w:pPr>
      <w:r>
        <w:rPr>
          <w:b/>
          <w:spacing w:val="-3"/>
        </w:rPr>
        <w:t>Rule 2201 - New and Modified Stationary Source Review Rule</w:t>
      </w:r>
    </w:p>
    <w:p w:rsidR="0019180C" w:rsidRDefault="0019180C">
      <w:pPr>
        <w:suppressAutoHyphens/>
        <w:jc w:val="both"/>
        <w:rPr>
          <w:b/>
          <w:spacing w:val="-3"/>
        </w:rPr>
      </w:pPr>
    </w:p>
    <w:p w:rsidR="0019180C" w:rsidRDefault="0019180C">
      <w:pPr>
        <w:pStyle w:val="Heading2"/>
      </w:pPr>
      <w:r>
        <w:t>BACT</w:t>
      </w:r>
    </w:p>
    <w:p w:rsidR="0019180C" w:rsidRDefault="0019180C">
      <w:pPr>
        <w:suppressAutoHyphens/>
        <w:ind w:left="450"/>
        <w:jc w:val="both"/>
        <w:rPr>
          <w:b/>
          <w:spacing w:val="-3"/>
        </w:rPr>
      </w:pPr>
    </w:p>
    <w:p w:rsidR="0019180C" w:rsidRDefault="0019180C">
      <w:pPr>
        <w:pStyle w:val="Heading3"/>
      </w:pPr>
      <w:r>
        <w:t>BACT Applicability</w:t>
      </w:r>
    </w:p>
    <w:p w:rsidR="0019180C" w:rsidRDefault="0019180C">
      <w:pPr>
        <w:suppressAutoHyphens/>
        <w:ind w:left="720"/>
        <w:jc w:val="both"/>
        <w:rPr>
          <w:b/>
          <w:spacing w:val="-3"/>
        </w:rPr>
      </w:pPr>
    </w:p>
    <w:p w:rsidR="0019180C" w:rsidRDefault="0019180C">
      <w:pPr>
        <w:pStyle w:val="BodyTextIndent"/>
        <w:suppressAutoHyphens w:val="0"/>
      </w:pPr>
      <w:r>
        <w:t xml:space="preserve">BACT requirements are triggered on a pollutant-by-pollutant basis and on an emissions unit-by-emissions unit basis for the following*:  </w:t>
      </w:r>
    </w:p>
    <w:p w:rsidR="0019180C" w:rsidRDefault="0019180C">
      <w:pPr>
        <w:pStyle w:val="BodyTextIndent"/>
        <w:suppressAutoHyphens w:val="0"/>
        <w:ind w:left="864"/>
      </w:pPr>
    </w:p>
    <w:p w:rsidR="0019180C" w:rsidRDefault="0019180C">
      <w:pPr>
        <w:numPr>
          <w:ilvl w:val="1"/>
          <w:numId w:val="4"/>
        </w:numPr>
        <w:tabs>
          <w:tab w:val="clear" w:pos="1980"/>
          <w:tab w:val="num" w:pos="1080"/>
        </w:tabs>
        <w:ind w:left="1080"/>
      </w:pPr>
      <w:r>
        <w:t>Any new emissions unit with a potential to emit exceeding two pounds per day,</w:t>
      </w:r>
    </w:p>
    <w:p w:rsidR="0019180C" w:rsidRDefault="0019180C">
      <w:pPr>
        <w:numPr>
          <w:ilvl w:val="1"/>
          <w:numId w:val="4"/>
        </w:numPr>
        <w:tabs>
          <w:tab w:val="clear" w:pos="1980"/>
          <w:tab w:val="num" w:pos="1080"/>
        </w:tabs>
        <w:ind w:left="1080"/>
      </w:pPr>
      <w:r>
        <w:t>The relocation from one Stationary Source to another of an existing emissions unit with a potential to emit exceeding two pounds per day,</w:t>
      </w:r>
    </w:p>
    <w:p w:rsidR="0019180C" w:rsidRDefault="0019180C">
      <w:pPr>
        <w:numPr>
          <w:ilvl w:val="1"/>
          <w:numId w:val="4"/>
        </w:numPr>
        <w:tabs>
          <w:tab w:val="clear" w:pos="1980"/>
          <w:tab w:val="num" w:pos="1080"/>
        </w:tabs>
        <w:ind w:left="1080"/>
        <w:rPr>
          <w:spacing w:val="-3"/>
        </w:rPr>
      </w:pPr>
      <w:r>
        <w:rPr>
          <w:color w:val="000000"/>
          <w:spacing w:val="-3"/>
        </w:rPr>
        <w:t>Modifications to an existing emissions unit with a valid Permit to Operate resulting in an AIPE exceeding two pounds per day,</w:t>
      </w:r>
      <w:r>
        <w:t xml:space="preserve"> and/or</w:t>
      </w:r>
    </w:p>
    <w:p w:rsidR="0019180C" w:rsidRDefault="0019180C">
      <w:pPr>
        <w:numPr>
          <w:ilvl w:val="1"/>
          <w:numId w:val="4"/>
        </w:numPr>
        <w:tabs>
          <w:tab w:val="clear" w:pos="1980"/>
          <w:tab w:val="num" w:pos="1080"/>
        </w:tabs>
        <w:ind w:left="1080"/>
        <w:rPr>
          <w:spacing w:val="-3"/>
        </w:rPr>
      </w:pPr>
      <w:r>
        <w:t>Any new or modified emissions unit, in a stationary source project, which results in a Major Modification.</w:t>
      </w:r>
    </w:p>
    <w:p w:rsidR="0019180C" w:rsidRDefault="0019180C">
      <w:pPr>
        <w:ind w:left="1080"/>
        <w:jc w:val="both"/>
        <w:rPr>
          <w:spacing w:val="-3"/>
        </w:rPr>
      </w:pPr>
    </w:p>
    <w:p w:rsidR="0019180C" w:rsidRDefault="0019180C">
      <w:pPr>
        <w:ind w:left="720"/>
        <w:rPr>
          <w:spacing w:val="-3"/>
        </w:rPr>
      </w:pPr>
      <w:r>
        <w:rPr>
          <w:sz w:val="20"/>
        </w:rPr>
        <w:t>*Except for CO emissions from a new or modified emissions unit at a Stationary Source with an SSPE2 of less than 200,000 pounds per year of CO.</w:t>
      </w:r>
    </w:p>
    <w:p w:rsidR="0019180C" w:rsidRDefault="0019180C">
      <w:pPr>
        <w:suppressAutoHyphens/>
        <w:ind w:left="720"/>
        <w:jc w:val="both"/>
        <w:rPr>
          <w:spacing w:val="-3"/>
        </w:rPr>
      </w:pPr>
    </w:p>
    <w:p w:rsidR="0019180C" w:rsidRDefault="0019180C">
      <w:pPr>
        <w:suppressAutoHyphens/>
        <w:ind w:left="720"/>
        <w:jc w:val="both"/>
        <w:rPr>
          <w:iCs/>
          <w:spacing w:val="-3"/>
        </w:rPr>
      </w:pPr>
      <w:r>
        <w:rPr>
          <w:spacing w:val="-3"/>
        </w:rPr>
        <w:t xml:space="preserve">The applicant is proposing to install a new emissions unit with a PE of </w:t>
      </w:r>
      <w:r>
        <w:rPr>
          <w:color w:val="0000FF"/>
          <w:spacing w:val="-3"/>
        </w:rPr>
        <w:t>[ ]</w:t>
      </w:r>
      <w:r>
        <w:rPr>
          <w:spacing w:val="-3"/>
        </w:rPr>
        <w:t xml:space="preserve"> lb/day for VOC as calculated in section VII.C.2.  Since the daily VOC emissions are </w:t>
      </w:r>
      <w:r>
        <w:rPr>
          <w:color w:val="0000FF"/>
          <w:spacing w:val="-3"/>
        </w:rPr>
        <w:t>[greater or not greater]</w:t>
      </w:r>
      <w:r>
        <w:rPr>
          <w:spacing w:val="-3"/>
        </w:rPr>
        <w:t xml:space="preserve"> than 2.0 lbs/day, BACT </w:t>
      </w:r>
      <w:r>
        <w:rPr>
          <w:color w:val="0000FF"/>
          <w:spacing w:val="-3"/>
        </w:rPr>
        <w:t>[will or will not]</w:t>
      </w:r>
      <w:r>
        <w:rPr>
          <w:spacing w:val="-3"/>
        </w:rPr>
        <w:t xml:space="preserve"> be triggered.  The daily emissions for </w:t>
      </w:r>
      <w:r>
        <w:rPr>
          <w:color w:val="0000FF"/>
          <w:spacing w:val="-3"/>
        </w:rPr>
        <w:t>[NOx, SOx, PM</w:t>
      </w:r>
      <w:r>
        <w:rPr>
          <w:color w:val="0000FF"/>
          <w:spacing w:val="-3"/>
          <w:vertAlign w:val="subscript"/>
        </w:rPr>
        <w:t>10</w:t>
      </w:r>
      <w:r>
        <w:rPr>
          <w:color w:val="0000FF"/>
          <w:spacing w:val="-3"/>
        </w:rPr>
        <w:t xml:space="preserve">, and CO] </w:t>
      </w:r>
      <w:r>
        <w:rPr>
          <w:spacing w:val="-3"/>
        </w:rPr>
        <w:t xml:space="preserve">are also above 2.0 lb/day.  </w:t>
      </w:r>
      <w:r>
        <w:rPr>
          <w:iCs/>
          <w:color w:val="0000FF"/>
          <w:spacing w:val="-3"/>
        </w:rPr>
        <w:t xml:space="preserve">Therefore, BACT will be triggered for [NOx, </w:t>
      </w:r>
      <w:r>
        <w:rPr>
          <w:color w:val="0000FF"/>
          <w:spacing w:val="-3"/>
        </w:rPr>
        <w:t>SOx, PM</w:t>
      </w:r>
      <w:r>
        <w:rPr>
          <w:color w:val="0000FF"/>
          <w:spacing w:val="-3"/>
          <w:vertAlign w:val="subscript"/>
        </w:rPr>
        <w:t>10</w:t>
      </w:r>
      <w:r>
        <w:rPr>
          <w:color w:val="0000FF"/>
          <w:spacing w:val="-3"/>
        </w:rPr>
        <w:t>, CO, and VOC]</w:t>
      </w:r>
      <w:r>
        <w:rPr>
          <w:spacing w:val="-3"/>
        </w:rPr>
        <w:t>.</w:t>
      </w:r>
    </w:p>
    <w:p w:rsidR="0019180C" w:rsidRDefault="0019180C">
      <w:pPr>
        <w:suppressAutoHyphens/>
        <w:ind w:left="756" w:hanging="810"/>
        <w:jc w:val="both"/>
        <w:rPr>
          <w:i/>
          <w:color w:val="FF0000"/>
          <w:spacing w:val="-3"/>
        </w:rPr>
      </w:pPr>
    </w:p>
    <w:p w:rsidR="0019180C" w:rsidRDefault="0019180C">
      <w:pPr>
        <w:suppressAutoHyphens/>
        <w:ind w:left="756" w:hanging="810"/>
        <w:jc w:val="both"/>
        <w:rPr>
          <w:i/>
          <w:color w:val="FF0000"/>
          <w:spacing w:val="-3"/>
        </w:rPr>
      </w:pPr>
      <w:r>
        <w:rPr>
          <w:i/>
          <w:color w:val="FF0000"/>
          <w:spacing w:val="-3"/>
        </w:rPr>
        <w:t>OR</w:t>
      </w:r>
    </w:p>
    <w:p w:rsidR="0019180C" w:rsidRDefault="0019180C">
      <w:pPr>
        <w:suppressAutoHyphens/>
        <w:ind w:left="756" w:hanging="810"/>
        <w:jc w:val="both"/>
        <w:rPr>
          <w:i/>
          <w:color w:val="FF0000"/>
          <w:spacing w:val="-3"/>
        </w:rPr>
      </w:pPr>
    </w:p>
    <w:p w:rsidR="0019180C" w:rsidRDefault="0019180C">
      <w:pPr>
        <w:suppressAutoHyphens/>
        <w:ind w:left="756"/>
        <w:jc w:val="both"/>
        <w:rPr>
          <w:iCs/>
          <w:color w:val="0000FF"/>
          <w:spacing w:val="-3"/>
        </w:rPr>
      </w:pPr>
      <w:r>
        <w:rPr>
          <w:spacing w:val="-3"/>
        </w:rPr>
        <w:t xml:space="preserve">The applicant is proposing to modify its existing emissions unit with an AIPE of </w:t>
      </w:r>
      <w:r>
        <w:rPr>
          <w:color w:val="0000FF"/>
          <w:spacing w:val="-3"/>
        </w:rPr>
        <w:t>[  ]</w:t>
      </w:r>
      <w:r>
        <w:rPr>
          <w:spacing w:val="-3"/>
        </w:rPr>
        <w:t xml:space="preserve"> lb/day for VOC as calculated in the following section.  Since the daily VOC emissions are </w:t>
      </w:r>
      <w:r>
        <w:rPr>
          <w:color w:val="0000FF"/>
          <w:spacing w:val="-3"/>
        </w:rPr>
        <w:t>[greater or less]</w:t>
      </w:r>
      <w:r>
        <w:rPr>
          <w:spacing w:val="-3"/>
        </w:rPr>
        <w:t xml:space="preserve"> than 2.0 lbs/day, BACT </w:t>
      </w:r>
      <w:r>
        <w:rPr>
          <w:color w:val="0000FF"/>
          <w:spacing w:val="-3"/>
        </w:rPr>
        <w:t>[will or will not]</w:t>
      </w:r>
      <w:r>
        <w:rPr>
          <w:spacing w:val="-3"/>
        </w:rPr>
        <w:t xml:space="preserve"> be triggered.  The daily AIPE for </w:t>
      </w:r>
      <w:r>
        <w:rPr>
          <w:color w:val="0000FF"/>
          <w:spacing w:val="-3"/>
        </w:rPr>
        <w:t>[NOx, SOx, PM</w:t>
      </w:r>
      <w:r>
        <w:rPr>
          <w:color w:val="0000FF"/>
          <w:spacing w:val="-3"/>
          <w:vertAlign w:val="subscript"/>
        </w:rPr>
        <w:t>10</w:t>
      </w:r>
      <w:r>
        <w:rPr>
          <w:color w:val="0000FF"/>
          <w:spacing w:val="-3"/>
        </w:rPr>
        <w:t xml:space="preserve">, and CO] </w:t>
      </w:r>
      <w:r>
        <w:rPr>
          <w:spacing w:val="-3"/>
        </w:rPr>
        <w:t xml:space="preserve">are also above 2.0 lb/day.  </w:t>
      </w:r>
      <w:r>
        <w:rPr>
          <w:iCs/>
          <w:color w:val="0000FF"/>
          <w:spacing w:val="-3"/>
        </w:rPr>
        <w:t xml:space="preserve">Therefore, BACT will be triggered for [NOx, </w:t>
      </w:r>
      <w:r>
        <w:rPr>
          <w:color w:val="0000FF"/>
          <w:spacing w:val="-3"/>
        </w:rPr>
        <w:t>SOx, PM</w:t>
      </w:r>
      <w:r>
        <w:rPr>
          <w:color w:val="0000FF"/>
          <w:spacing w:val="-3"/>
          <w:vertAlign w:val="subscript"/>
        </w:rPr>
        <w:t>10</w:t>
      </w:r>
      <w:r>
        <w:rPr>
          <w:color w:val="0000FF"/>
          <w:spacing w:val="-3"/>
        </w:rPr>
        <w:t>, CO, and VOC]</w:t>
      </w:r>
      <w:r>
        <w:rPr>
          <w:spacing w:val="-3"/>
        </w:rPr>
        <w:t>.</w:t>
      </w:r>
    </w:p>
    <w:p w:rsidR="0019180C" w:rsidRDefault="0019180C">
      <w:pPr>
        <w:suppressAutoHyphens/>
        <w:ind w:left="720"/>
        <w:jc w:val="both"/>
        <w:rPr>
          <w:spacing w:val="-3"/>
        </w:rPr>
      </w:pPr>
    </w:p>
    <w:p w:rsidR="0019180C" w:rsidRDefault="0019180C">
      <w:pPr>
        <w:suppressAutoHyphens/>
        <w:ind w:left="810" w:hanging="810"/>
        <w:jc w:val="both"/>
        <w:rPr>
          <w:bCs/>
          <w:spacing w:val="-3"/>
        </w:rPr>
      </w:pPr>
      <w:r>
        <w:rPr>
          <w:spacing w:val="-3"/>
        </w:rPr>
        <w:lastRenderedPageBreak/>
        <w:tab/>
      </w:r>
      <w:r>
        <w:rPr>
          <w:bCs/>
          <w:spacing w:val="-3"/>
          <w:u w:val="single"/>
        </w:rPr>
        <w:t>Adjusted Increase in Permitted Emissions (AIPE)</w:t>
      </w:r>
    </w:p>
    <w:p w:rsidR="0019180C" w:rsidRDefault="0019180C">
      <w:pPr>
        <w:suppressAutoHyphens/>
        <w:ind w:left="1440"/>
        <w:jc w:val="both"/>
        <w:rPr>
          <w:spacing w:val="-3"/>
        </w:rPr>
      </w:pPr>
    </w:p>
    <w:p w:rsidR="0019180C" w:rsidRDefault="0019180C">
      <w:pPr>
        <w:ind w:left="810"/>
        <w:rPr>
          <w:snapToGrid w:val="0"/>
        </w:rPr>
      </w:pPr>
      <w:r>
        <w:rPr>
          <w:snapToGrid w:val="0"/>
        </w:rPr>
        <w:t>AIPE = PE2 – HAPE where,</w:t>
      </w:r>
    </w:p>
    <w:p w:rsidR="0019180C" w:rsidRDefault="0019180C">
      <w:pPr>
        <w:ind w:left="810"/>
        <w:rPr>
          <w:snapToGrid w:val="0"/>
        </w:rPr>
      </w:pPr>
    </w:p>
    <w:p w:rsidR="0019180C" w:rsidRDefault="0019180C">
      <w:pPr>
        <w:ind w:left="90" w:firstLine="720"/>
        <w:jc w:val="both"/>
        <w:rPr>
          <w:snapToGrid w:val="0"/>
        </w:rPr>
      </w:pPr>
      <w:r>
        <w:rPr>
          <w:snapToGrid w:val="0"/>
        </w:rPr>
        <w:t>AIPE =</w:t>
      </w:r>
      <w:r>
        <w:rPr>
          <w:snapToGrid w:val="0"/>
        </w:rPr>
        <w:tab/>
        <w:t>Adjusted Increase in Permitted Emissions, lb/day.</w:t>
      </w:r>
    </w:p>
    <w:p w:rsidR="0019180C" w:rsidRDefault="0019180C">
      <w:pPr>
        <w:ind w:left="810"/>
        <w:jc w:val="both"/>
        <w:rPr>
          <w:snapToGrid w:val="0"/>
        </w:rPr>
      </w:pPr>
      <w:r>
        <w:rPr>
          <w:snapToGrid w:val="0"/>
        </w:rPr>
        <w:t xml:space="preserve">PE2 = </w:t>
      </w:r>
      <w:r>
        <w:rPr>
          <w:snapToGrid w:val="0"/>
        </w:rPr>
        <w:tab/>
        <w:t>the emission unit’s post project Potential to Emit, lb/day.</w:t>
      </w:r>
    </w:p>
    <w:p w:rsidR="0019180C" w:rsidRDefault="0019180C">
      <w:pPr>
        <w:ind w:left="90" w:firstLine="720"/>
        <w:jc w:val="both"/>
        <w:rPr>
          <w:snapToGrid w:val="0"/>
        </w:rPr>
      </w:pPr>
      <w:r>
        <w:rPr>
          <w:snapToGrid w:val="0"/>
        </w:rPr>
        <w:t xml:space="preserve">HAPE = </w:t>
      </w:r>
      <w:r>
        <w:rPr>
          <w:snapToGrid w:val="0"/>
        </w:rPr>
        <w:tab/>
        <w:t xml:space="preserve">the emission unit’s Historically Adjusted Potential to </w:t>
      </w:r>
    </w:p>
    <w:p w:rsidR="0019180C" w:rsidRDefault="0019180C">
      <w:pPr>
        <w:ind w:left="2250"/>
        <w:jc w:val="both"/>
        <w:rPr>
          <w:snapToGrid w:val="0"/>
        </w:rPr>
      </w:pPr>
      <w:r>
        <w:rPr>
          <w:snapToGrid w:val="0"/>
        </w:rPr>
        <w:t>Emit, lb/day.</w:t>
      </w:r>
    </w:p>
    <w:p w:rsidR="0019180C" w:rsidRDefault="0019180C">
      <w:pPr>
        <w:ind w:left="810"/>
        <w:jc w:val="both"/>
        <w:rPr>
          <w:snapToGrid w:val="0"/>
        </w:rPr>
      </w:pPr>
    </w:p>
    <w:p w:rsidR="0019180C" w:rsidRDefault="0019180C">
      <w:pPr>
        <w:pStyle w:val="BodyTextIndent2"/>
        <w:ind w:left="810"/>
        <w:jc w:val="both"/>
      </w:pPr>
      <w:r>
        <w:t>Historically Adjusted Potential to Emit (HAPE) Calculations:</w:t>
      </w:r>
    </w:p>
    <w:p w:rsidR="0019180C" w:rsidRDefault="0019180C">
      <w:pPr>
        <w:pStyle w:val="BodyTextIndent2"/>
        <w:ind w:left="810"/>
        <w:jc w:val="both"/>
      </w:pPr>
    </w:p>
    <w:p w:rsidR="0019180C" w:rsidRDefault="0019180C">
      <w:pPr>
        <w:pStyle w:val="BodyTextIndent2"/>
        <w:ind w:left="810"/>
        <w:jc w:val="both"/>
      </w:pPr>
      <w:r>
        <w:t>HAPE = PE1 x (EF2 / EF1) where,</w:t>
      </w:r>
    </w:p>
    <w:p w:rsidR="0019180C" w:rsidRDefault="0019180C">
      <w:pPr>
        <w:pStyle w:val="BodyTextIndent2"/>
        <w:ind w:left="810"/>
        <w:jc w:val="both"/>
      </w:pPr>
    </w:p>
    <w:p w:rsidR="0019180C" w:rsidRDefault="0019180C">
      <w:pPr>
        <w:tabs>
          <w:tab w:val="left" w:pos="2340"/>
        </w:tabs>
        <w:ind w:left="1710" w:hanging="900"/>
        <w:jc w:val="both"/>
        <w:rPr>
          <w:snapToGrid w:val="0"/>
        </w:rPr>
      </w:pPr>
      <w:r>
        <w:rPr>
          <w:snapToGrid w:val="0"/>
        </w:rPr>
        <w:t>PE1 = The emission unit’s Potential to Emit prior to modification or relocation.</w:t>
      </w:r>
    </w:p>
    <w:p w:rsidR="0019180C" w:rsidRDefault="0019180C">
      <w:pPr>
        <w:ind w:left="1710" w:hanging="900"/>
        <w:jc w:val="both"/>
        <w:rPr>
          <w:snapToGrid w:val="0"/>
        </w:rPr>
      </w:pPr>
      <w:r>
        <w:rPr>
          <w:snapToGrid w:val="0"/>
        </w:rPr>
        <w:t xml:space="preserve">EF2 =  </w:t>
      </w:r>
      <w:r>
        <w:rPr>
          <w:snapToGrid w:val="0"/>
        </w:rPr>
        <w:tab/>
        <w:t>The emission unit’s permitted emission factor for the pollutant after modification or relocation. If EF2 is greater than EF1 then EF2/EF1 shall be set to 1.</w:t>
      </w:r>
    </w:p>
    <w:p w:rsidR="0019180C" w:rsidRDefault="0019180C">
      <w:pPr>
        <w:ind w:left="1710" w:hanging="900"/>
        <w:jc w:val="both"/>
        <w:rPr>
          <w:snapToGrid w:val="0"/>
        </w:rPr>
      </w:pPr>
      <w:r>
        <w:rPr>
          <w:snapToGrid w:val="0"/>
        </w:rPr>
        <w:t>EF1 = The emission unit’s permitted emission factor for the pollutant before the modification or relocation.</w:t>
      </w:r>
    </w:p>
    <w:p w:rsidR="0019180C" w:rsidRDefault="0019180C">
      <w:pPr>
        <w:ind w:left="1530"/>
        <w:jc w:val="both"/>
        <w:rPr>
          <w:snapToGrid w:val="0"/>
        </w:rPr>
      </w:pPr>
    </w:p>
    <w:p w:rsidR="0019180C" w:rsidRDefault="0019180C">
      <w:pPr>
        <w:ind w:left="810"/>
        <w:jc w:val="both"/>
        <w:rPr>
          <w:snapToGrid w:val="0"/>
        </w:rPr>
      </w:pPr>
      <w:r>
        <w:rPr>
          <w:snapToGrid w:val="0"/>
        </w:rPr>
        <w:t xml:space="preserve">EF1 = </w:t>
      </w:r>
      <w:r>
        <w:rPr>
          <w:color w:val="0000FF"/>
          <w:spacing w:val="-3"/>
        </w:rPr>
        <w:t xml:space="preserve">[  ] </w:t>
      </w:r>
      <w:r>
        <w:rPr>
          <w:spacing w:val="-3"/>
        </w:rPr>
        <w:t xml:space="preserve">% </w:t>
      </w:r>
      <w:r>
        <w:rPr>
          <w:spacing w:val="-2"/>
          <w:sz w:val="20"/>
        </w:rPr>
        <w:t xml:space="preserve">(Taken from project # </w:t>
      </w:r>
      <w:r>
        <w:rPr>
          <w:color w:val="0000FF"/>
          <w:spacing w:val="-2"/>
          <w:sz w:val="20"/>
        </w:rPr>
        <w:t>[      ])</w:t>
      </w:r>
    </w:p>
    <w:p w:rsidR="0019180C" w:rsidRDefault="0019180C">
      <w:pPr>
        <w:ind w:left="90" w:firstLine="720"/>
        <w:jc w:val="both"/>
        <w:rPr>
          <w:snapToGrid w:val="0"/>
        </w:rPr>
      </w:pPr>
      <w:r>
        <w:rPr>
          <w:snapToGrid w:val="0"/>
        </w:rPr>
        <w:t xml:space="preserve">EF2 = </w:t>
      </w:r>
      <w:r>
        <w:rPr>
          <w:color w:val="0000FF"/>
          <w:spacing w:val="-3"/>
        </w:rPr>
        <w:t>[  ]</w:t>
      </w:r>
      <w:r>
        <w:rPr>
          <w:spacing w:val="-3"/>
        </w:rPr>
        <w:t xml:space="preserve"> % </w:t>
      </w:r>
      <w:r>
        <w:rPr>
          <w:spacing w:val="-2"/>
          <w:sz w:val="20"/>
        </w:rPr>
        <w:t>(As proposed by the applicant, 95% District BACT requirement)</w:t>
      </w:r>
    </w:p>
    <w:p w:rsidR="0019180C" w:rsidRDefault="0019180C">
      <w:pPr>
        <w:ind w:left="810"/>
        <w:jc w:val="both"/>
        <w:rPr>
          <w:snapToGrid w:val="0"/>
        </w:rPr>
      </w:pPr>
    </w:p>
    <w:p w:rsidR="0019180C" w:rsidRDefault="0019180C">
      <w:pPr>
        <w:ind w:left="810"/>
        <w:jc w:val="both"/>
      </w:pPr>
      <w:r>
        <w:rPr>
          <w:snapToGrid w:val="0"/>
        </w:rPr>
        <w:t xml:space="preserve">AIPE </w:t>
      </w:r>
      <w:r>
        <w:rPr>
          <w:spacing w:val="-3"/>
        </w:rPr>
        <w:t xml:space="preserve">(lb/day) </w:t>
      </w:r>
      <w:r>
        <w:rPr>
          <w:snapToGrid w:val="0"/>
        </w:rPr>
        <w:t xml:space="preserve">= PE2 </w:t>
      </w:r>
      <w:r>
        <w:rPr>
          <w:spacing w:val="-3"/>
        </w:rPr>
        <w:t xml:space="preserve">(lb/day) </w:t>
      </w:r>
      <w:r>
        <w:rPr>
          <w:snapToGrid w:val="0"/>
        </w:rPr>
        <w:t>– [</w:t>
      </w:r>
      <w:r>
        <w:t xml:space="preserve">PE1 </w:t>
      </w:r>
      <w:r>
        <w:rPr>
          <w:spacing w:val="-3"/>
        </w:rPr>
        <w:t xml:space="preserve">(lb/day) </w:t>
      </w:r>
      <w:r>
        <w:t>x (EF2 / EF1)]</w:t>
      </w:r>
    </w:p>
    <w:p w:rsidR="0019180C" w:rsidRDefault="0019180C">
      <w:pPr>
        <w:ind w:left="1530" w:firstLine="720"/>
        <w:jc w:val="both"/>
      </w:pPr>
      <w:r>
        <w:rPr>
          <w:snapToGrid w:val="0"/>
        </w:rPr>
        <w:t xml:space="preserve">= PE2 </w:t>
      </w:r>
      <w:r>
        <w:rPr>
          <w:spacing w:val="-3"/>
        </w:rPr>
        <w:t xml:space="preserve">(lb/day) </w:t>
      </w:r>
      <w:r>
        <w:rPr>
          <w:snapToGrid w:val="0"/>
        </w:rPr>
        <w:t>– [</w:t>
      </w:r>
      <w:r>
        <w:t xml:space="preserve">PE1 </w:t>
      </w:r>
      <w:r>
        <w:rPr>
          <w:spacing w:val="-3"/>
        </w:rPr>
        <w:t xml:space="preserve">(lb/day) </w:t>
      </w:r>
      <w:r>
        <w:t xml:space="preserve">x </w:t>
      </w:r>
      <w:r>
        <w:rPr>
          <w:color w:val="0000FF"/>
        </w:rPr>
        <w:t>(0.95 / 0.95)]</w:t>
      </w:r>
    </w:p>
    <w:p w:rsidR="0019180C" w:rsidRDefault="0019180C">
      <w:pPr>
        <w:ind w:left="1530" w:firstLine="720"/>
        <w:jc w:val="both"/>
      </w:pPr>
      <w:r>
        <w:rPr>
          <w:snapToGrid w:val="0"/>
        </w:rPr>
        <w:t xml:space="preserve">= PE2 </w:t>
      </w:r>
      <w:r>
        <w:rPr>
          <w:spacing w:val="-3"/>
        </w:rPr>
        <w:t xml:space="preserve">(lb/day) </w:t>
      </w:r>
      <w:r>
        <w:rPr>
          <w:snapToGrid w:val="0"/>
        </w:rPr>
        <w:t>– [</w:t>
      </w:r>
      <w:r>
        <w:t xml:space="preserve">PE1 </w:t>
      </w:r>
      <w:r>
        <w:rPr>
          <w:spacing w:val="-3"/>
        </w:rPr>
        <w:t xml:space="preserve">(lb/day) </w:t>
      </w:r>
      <w:r>
        <w:t>x 1]</w:t>
      </w:r>
    </w:p>
    <w:p w:rsidR="0019180C" w:rsidRDefault="0019180C">
      <w:pPr>
        <w:ind w:left="1530" w:firstLine="720"/>
        <w:jc w:val="both"/>
        <w:rPr>
          <w:spacing w:val="-3"/>
        </w:rPr>
      </w:pPr>
      <w:r>
        <w:rPr>
          <w:snapToGrid w:val="0"/>
        </w:rPr>
        <w:t xml:space="preserve">= PE2 </w:t>
      </w:r>
      <w:r>
        <w:rPr>
          <w:spacing w:val="-3"/>
        </w:rPr>
        <w:t xml:space="preserve">(lb/day) </w:t>
      </w:r>
      <w:r>
        <w:rPr>
          <w:snapToGrid w:val="0"/>
        </w:rPr>
        <w:t xml:space="preserve">– </w:t>
      </w:r>
      <w:r>
        <w:t xml:space="preserve">PE1 </w:t>
      </w:r>
      <w:r>
        <w:rPr>
          <w:spacing w:val="-3"/>
        </w:rPr>
        <w:t>(lb/day)</w:t>
      </w:r>
    </w:p>
    <w:p w:rsidR="0019180C" w:rsidRDefault="0019180C">
      <w:pPr>
        <w:pStyle w:val="FootnoteText"/>
        <w:suppressAutoHyphens/>
        <w:rPr>
          <w:rFonts w:ascii="Arial" w:hAnsi="Arial"/>
          <w:b/>
          <w:bCs/>
          <w:spacing w:val="-3"/>
        </w:rPr>
      </w:pPr>
    </w:p>
    <w:tbl>
      <w:tblPr>
        <w:tblW w:w="0" w:type="auto"/>
        <w:jc w:val="center"/>
        <w:tblInd w:w="366" w:type="dxa"/>
        <w:tblLayout w:type="fixed"/>
        <w:tblCellMar>
          <w:left w:w="122" w:type="dxa"/>
          <w:right w:w="122" w:type="dxa"/>
        </w:tblCellMar>
        <w:tblLook w:val="0000" w:firstRow="0" w:lastRow="0" w:firstColumn="0" w:lastColumn="0" w:noHBand="0" w:noVBand="0"/>
      </w:tblPr>
      <w:tblGrid>
        <w:gridCol w:w="1270"/>
        <w:gridCol w:w="1980"/>
        <w:gridCol w:w="2070"/>
        <w:gridCol w:w="2446"/>
      </w:tblGrid>
      <w:tr w:rsidR="0019180C" w:rsidTr="00B031E6">
        <w:trPr>
          <w:trHeight w:val="410"/>
          <w:jc w:val="center"/>
        </w:trPr>
        <w:tc>
          <w:tcPr>
            <w:tcW w:w="7766" w:type="dxa"/>
            <w:gridSpan w:val="4"/>
            <w:tcBorders>
              <w:top w:val="double" w:sz="6" w:space="0" w:color="auto"/>
              <w:left w:val="double" w:sz="6" w:space="0" w:color="auto"/>
              <w:right w:val="double" w:sz="6" w:space="0" w:color="auto"/>
            </w:tcBorders>
            <w:shd w:val="clear" w:color="auto" w:fill="auto"/>
            <w:vAlign w:val="center"/>
          </w:tcPr>
          <w:p w:rsidR="0019180C" w:rsidRDefault="0019180C">
            <w:pPr>
              <w:keepNext/>
              <w:suppressAutoHyphens/>
              <w:spacing w:before="40" w:after="40"/>
              <w:jc w:val="center"/>
              <w:rPr>
                <w:b/>
                <w:bCs/>
                <w:spacing w:val="-3"/>
              </w:rPr>
            </w:pPr>
            <w:r>
              <w:rPr>
                <w:b/>
                <w:bCs/>
                <w:noProof/>
                <w:spacing w:val="-3"/>
              </w:rPr>
              <w:t>Adjusted Increase in Permitted Emissions (AIPE)</w:t>
            </w:r>
          </w:p>
        </w:tc>
      </w:tr>
      <w:tr w:rsidR="0019180C" w:rsidTr="00B031E6">
        <w:trPr>
          <w:trHeight w:val="473"/>
          <w:jc w:val="center"/>
        </w:trPr>
        <w:tc>
          <w:tcPr>
            <w:tcW w:w="1270" w:type="dxa"/>
            <w:tcBorders>
              <w:top w:val="double" w:sz="6" w:space="0" w:color="auto"/>
              <w:left w:val="double" w:sz="6" w:space="0" w:color="auto"/>
            </w:tcBorders>
            <w:shd w:val="clear" w:color="auto" w:fill="auto"/>
            <w:vAlign w:val="center"/>
          </w:tcPr>
          <w:p w:rsidR="0019180C" w:rsidRDefault="0019180C">
            <w:pPr>
              <w:keepNext/>
              <w:suppressAutoHyphens/>
              <w:jc w:val="center"/>
              <w:rPr>
                <w:b/>
                <w:bCs/>
                <w:spacing w:val="-3"/>
              </w:rPr>
            </w:pPr>
            <w:r>
              <w:rPr>
                <w:b/>
                <w:bCs/>
                <w:spacing w:val="-3"/>
              </w:rPr>
              <w:t>Pollutant</w:t>
            </w:r>
          </w:p>
        </w:tc>
        <w:tc>
          <w:tcPr>
            <w:tcW w:w="1980" w:type="dxa"/>
            <w:tcBorders>
              <w:top w:val="double" w:sz="6" w:space="0" w:color="auto"/>
              <w:left w:val="single" w:sz="6" w:space="0" w:color="auto"/>
            </w:tcBorders>
            <w:shd w:val="clear" w:color="auto" w:fill="auto"/>
            <w:vAlign w:val="center"/>
          </w:tcPr>
          <w:p w:rsidR="0019180C" w:rsidRDefault="0019180C">
            <w:pPr>
              <w:keepNext/>
              <w:suppressAutoHyphens/>
              <w:jc w:val="center"/>
              <w:rPr>
                <w:b/>
                <w:bCs/>
                <w:spacing w:val="-3"/>
              </w:rPr>
            </w:pPr>
            <w:r>
              <w:rPr>
                <w:b/>
                <w:bCs/>
                <w:spacing w:val="-3"/>
              </w:rPr>
              <w:t>PE</w:t>
            </w:r>
            <w:r>
              <w:rPr>
                <w:b/>
                <w:bCs/>
                <w:spacing w:val="-3"/>
                <w:vertAlign w:val="subscript"/>
              </w:rPr>
              <w:t>2</w:t>
            </w:r>
          </w:p>
          <w:p w:rsidR="0019180C" w:rsidRDefault="0019180C">
            <w:pPr>
              <w:pStyle w:val="BodyText2"/>
              <w:keepNext/>
              <w:spacing w:before="0"/>
              <w:rPr>
                <w:b/>
                <w:bCs/>
                <w:sz w:val="16"/>
              </w:rPr>
            </w:pPr>
            <w:r>
              <w:rPr>
                <w:b/>
                <w:bCs/>
                <w:sz w:val="16"/>
              </w:rPr>
              <w:t>Daily Post Project</w:t>
            </w:r>
          </w:p>
          <w:p w:rsidR="0019180C" w:rsidRDefault="0019180C">
            <w:pPr>
              <w:keepNext/>
              <w:suppressAutoHyphens/>
              <w:jc w:val="center"/>
              <w:rPr>
                <w:b/>
                <w:bCs/>
                <w:spacing w:val="-3"/>
              </w:rPr>
            </w:pPr>
            <w:r>
              <w:rPr>
                <w:b/>
                <w:bCs/>
                <w:spacing w:val="-3"/>
              </w:rPr>
              <w:t>(lb/day)</w:t>
            </w:r>
          </w:p>
        </w:tc>
        <w:tc>
          <w:tcPr>
            <w:tcW w:w="2070" w:type="dxa"/>
            <w:tcBorders>
              <w:top w:val="double" w:sz="6" w:space="0" w:color="auto"/>
              <w:left w:val="single" w:sz="6" w:space="0" w:color="auto"/>
            </w:tcBorders>
            <w:shd w:val="clear" w:color="auto" w:fill="auto"/>
            <w:vAlign w:val="center"/>
          </w:tcPr>
          <w:p w:rsidR="0019180C" w:rsidRDefault="0019180C">
            <w:pPr>
              <w:keepNext/>
              <w:suppressAutoHyphens/>
              <w:jc w:val="center"/>
              <w:rPr>
                <w:b/>
                <w:bCs/>
                <w:spacing w:val="-3"/>
              </w:rPr>
            </w:pPr>
            <w:r>
              <w:rPr>
                <w:b/>
                <w:bCs/>
                <w:spacing w:val="-3"/>
              </w:rPr>
              <w:t>PE</w:t>
            </w:r>
            <w:r>
              <w:rPr>
                <w:b/>
                <w:bCs/>
                <w:spacing w:val="-3"/>
                <w:vertAlign w:val="subscript"/>
              </w:rPr>
              <w:t>1</w:t>
            </w:r>
          </w:p>
          <w:p w:rsidR="0019180C" w:rsidRDefault="0019180C">
            <w:pPr>
              <w:keepNext/>
              <w:suppressAutoHyphens/>
              <w:jc w:val="center"/>
              <w:rPr>
                <w:b/>
                <w:bCs/>
                <w:spacing w:val="-3"/>
                <w:sz w:val="16"/>
              </w:rPr>
            </w:pPr>
            <w:r>
              <w:rPr>
                <w:b/>
                <w:bCs/>
                <w:sz w:val="16"/>
              </w:rPr>
              <w:t>Daily Pre Project</w:t>
            </w:r>
          </w:p>
          <w:p w:rsidR="0019180C" w:rsidRDefault="0019180C">
            <w:pPr>
              <w:keepNext/>
              <w:suppressAutoHyphens/>
              <w:jc w:val="center"/>
              <w:rPr>
                <w:b/>
                <w:bCs/>
                <w:spacing w:val="-3"/>
              </w:rPr>
            </w:pPr>
            <w:r>
              <w:rPr>
                <w:b/>
                <w:bCs/>
                <w:spacing w:val="-3"/>
              </w:rPr>
              <w:t>(lb/day)</w:t>
            </w:r>
          </w:p>
        </w:tc>
        <w:tc>
          <w:tcPr>
            <w:tcW w:w="2446" w:type="dxa"/>
            <w:tcBorders>
              <w:top w:val="double" w:sz="6" w:space="0" w:color="auto"/>
              <w:left w:val="single" w:sz="6" w:space="0" w:color="auto"/>
              <w:right w:val="double" w:sz="6" w:space="0" w:color="auto"/>
            </w:tcBorders>
            <w:shd w:val="clear" w:color="auto" w:fill="auto"/>
            <w:vAlign w:val="center"/>
          </w:tcPr>
          <w:p w:rsidR="0019180C" w:rsidRDefault="0019180C">
            <w:pPr>
              <w:keepNext/>
              <w:suppressAutoHyphens/>
              <w:jc w:val="center"/>
              <w:rPr>
                <w:b/>
                <w:bCs/>
                <w:spacing w:val="-3"/>
              </w:rPr>
            </w:pPr>
            <w:r>
              <w:rPr>
                <w:b/>
                <w:bCs/>
                <w:spacing w:val="-3"/>
              </w:rPr>
              <w:t>AIPE</w:t>
            </w:r>
          </w:p>
          <w:p w:rsidR="0019180C" w:rsidRDefault="0019180C">
            <w:pPr>
              <w:keepNext/>
              <w:suppressAutoHyphens/>
              <w:jc w:val="center"/>
              <w:rPr>
                <w:b/>
                <w:bCs/>
                <w:spacing w:val="-3"/>
              </w:rPr>
            </w:pPr>
            <w:r>
              <w:rPr>
                <w:b/>
                <w:bCs/>
                <w:spacing w:val="-3"/>
              </w:rPr>
              <w:t>(lb/day)</w:t>
            </w:r>
          </w:p>
        </w:tc>
      </w:tr>
      <w:tr w:rsidR="0019180C" w:rsidTr="00B031E6">
        <w:trPr>
          <w:jc w:val="center"/>
        </w:trPr>
        <w:tc>
          <w:tcPr>
            <w:tcW w:w="1270" w:type="dxa"/>
            <w:tcBorders>
              <w:top w:val="double" w:sz="6" w:space="0" w:color="auto"/>
              <w:left w:val="double" w:sz="6" w:space="0" w:color="auto"/>
            </w:tcBorders>
            <w:shd w:val="clear" w:color="auto" w:fill="auto"/>
          </w:tcPr>
          <w:p w:rsidR="0019180C" w:rsidRDefault="0019180C">
            <w:pPr>
              <w:keepNext/>
              <w:suppressAutoHyphens/>
              <w:jc w:val="center"/>
              <w:rPr>
                <w:spacing w:val="-3"/>
              </w:rPr>
            </w:pPr>
            <w:r>
              <w:rPr>
                <w:noProof/>
                <w:spacing w:val="-3"/>
              </w:rPr>
              <w:t>NO</w:t>
            </w:r>
            <w:r>
              <w:rPr>
                <w:noProof/>
                <w:spacing w:val="-3"/>
                <w:vertAlign w:val="subscript"/>
              </w:rPr>
              <w:t>x</w:t>
            </w:r>
          </w:p>
        </w:tc>
        <w:tc>
          <w:tcPr>
            <w:tcW w:w="1980" w:type="dxa"/>
            <w:tcBorders>
              <w:top w:val="double" w:sz="6" w:space="0" w:color="auto"/>
              <w:left w:val="single" w:sz="6" w:space="0" w:color="auto"/>
            </w:tcBorders>
            <w:shd w:val="clear" w:color="auto" w:fill="auto"/>
            <w:vAlign w:val="center"/>
          </w:tcPr>
          <w:p w:rsidR="0019180C" w:rsidRDefault="0019180C">
            <w:pPr>
              <w:keepNext/>
              <w:jc w:val="center"/>
              <w:rPr>
                <w:snapToGrid w:val="0"/>
                <w:color w:val="0000FF"/>
              </w:rPr>
            </w:pPr>
            <w:r>
              <w:rPr>
                <w:snapToGrid w:val="0"/>
                <w:color w:val="0000FF"/>
              </w:rPr>
              <w:t>--</w:t>
            </w:r>
          </w:p>
        </w:tc>
        <w:tc>
          <w:tcPr>
            <w:tcW w:w="2070" w:type="dxa"/>
            <w:tcBorders>
              <w:top w:val="double" w:sz="6" w:space="0" w:color="auto"/>
              <w:left w:val="single" w:sz="6" w:space="0" w:color="auto"/>
            </w:tcBorders>
            <w:shd w:val="clear" w:color="auto" w:fill="auto"/>
            <w:vAlign w:val="center"/>
          </w:tcPr>
          <w:p w:rsidR="0019180C" w:rsidRDefault="0019180C">
            <w:pPr>
              <w:keepNext/>
              <w:jc w:val="center"/>
              <w:rPr>
                <w:snapToGrid w:val="0"/>
                <w:color w:val="0000FF"/>
              </w:rPr>
            </w:pPr>
            <w:r>
              <w:rPr>
                <w:snapToGrid w:val="0"/>
                <w:color w:val="0000FF"/>
              </w:rPr>
              <w:t>--</w:t>
            </w:r>
          </w:p>
        </w:tc>
        <w:tc>
          <w:tcPr>
            <w:tcW w:w="2446" w:type="dxa"/>
            <w:tcBorders>
              <w:top w:val="double" w:sz="6" w:space="0" w:color="auto"/>
              <w:left w:val="single" w:sz="6" w:space="0" w:color="auto"/>
              <w:right w:val="double" w:sz="6" w:space="0" w:color="auto"/>
            </w:tcBorders>
            <w:shd w:val="clear" w:color="auto" w:fill="auto"/>
            <w:vAlign w:val="center"/>
          </w:tcPr>
          <w:p w:rsidR="0019180C" w:rsidRDefault="0019180C">
            <w:pPr>
              <w:keepNext/>
              <w:jc w:val="center"/>
              <w:rPr>
                <w:snapToGrid w:val="0"/>
                <w:color w:val="0000FF"/>
              </w:rPr>
            </w:pPr>
            <w:r>
              <w:rPr>
                <w:snapToGrid w:val="0"/>
                <w:color w:val="0000FF"/>
              </w:rPr>
              <w:t>--</w:t>
            </w:r>
          </w:p>
        </w:tc>
      </w:tr>
      <w:tr w:rsidR="0019180C" w:rsidTr="00B031E6">
        <w:trPr>
          <w:jc w:val="center"/>
        </w:trPr>
        <w:tc>
          <w:tcPr>
            <w:tcW w:w="1270" w:type="dxa"/>
            <w:tcBorders>
              <w:top w:val="single" w:sz="6" w:space="0" w:color="auto"/>
              <w:left w:val="double" w:sz="6" w:space="0" w:color="auto"/>
            </w:tcBorders>
            <w:shd w:val="clear" w:color="auto" w:fill="auto"/>
          </w:tcPr>
          <w:p w:rsidR="0019180C" w:rsidRDefault="0019180C">
            <w:pPr>
              <w:keepNext/>
              <w:suppressAutoHyphens/>
              <w:jc w:val="center"/>
              <w:rPr>
                <w:spacing w:val="-3"/>
              </w:rPr>
            </w:pPr>
            <w:r>
              <w:rPr>
                <w:noProof/>
                <w:spacing w:val="-3"/>
              </w:rPr>
              <w:t>SO</w:t>
            </w:r>
            <w:r>
              <w:rPr>
                <w:noProof/>
                <w:spacing w:val="-3"/>
                <w:vertAlign w:val="subscript"/>
              </w:rPr>
              <w:t>x</w:t>
            </w:r>
          </w:p>
        </w:tc>
        <w:tc>
          <w:tcPr>
            <w:tcW w:w="1980" w:type="dxa"/>
            <w:tcBorders>
              <w:top w:val="single" w:sz="6" w:space="0" w:color="auto"/>
              <w:left w:val="single" w:sz="6" w:space="0" w:color="auto"/>
            </w:tcBorders>
            <w:shd w:val="clear" w:color="auto" w:fill="auto"/>
            <w:vAlign w:val="center"/>
          </w:tcPr>
          <w:p w:rsidR="0019180C" w:rsidRDefault="0019180C">
            <w:pPr>
              <w:keepNext/>
              <w:jc w:val="center"/>
              <w:rPr>
                <w:snapToGrid w:val="0"/>
                <w:color w:val="0000FF"/>
              </w:rPr>
            </w:pPr>
            <w:r>
              <w:rPr>
                <w:snapToGrid w:val="0"/>
                <w:color w:val="0000FF"/>
              </w:rPr>
              <w:t>--</w:t>
            </w:r>
          </w:p>
        </w:tc>
        <w:tc>
          <w:tcPr>
            <w:tcW w:w="2070" w:type="dxa"/>
            <w:tcBorders>
              <w:top w:val="single" w:sz="6" w:space="0" w:color="auto"/>
              <w:left w:val="single" w:sz="6" w:space="0" w:color="auto"/>
            </w:tcBorders>
            <w:shd w:val="clear" w:color="auto" w:fill="auto"/>
            <w:vAlign w:val="center"/>
          </w:tcPr>
          <w:p w:rsidR="0019180C" w:rsidRDefault="0019180C">
            <w:pPr>
              <w:keepNext/>
              <w:jc w:val="center"/>
              <w:rPr>
                <w:snapToGrid w:val="0"/>
                <w:color w:val="0000FF"/>
              </w:rPr>
            </w:pPr>
            <w:r>
              <w:rPr>
                <w:snapToGrid w:val="0"/>
                <w:color w:val="0000FF"/>
              </w:rPr>
              <w:t>--</w:t>
            </w:r>
          </w:p>
        </w:tc>
        <w:tc>
          <w:tcPr>
            <w:tcW w:w="2446" w:type="dxa"/>
            <w:tcBorders>
              <w:top w:val="single" w:sz="6" w:space="0" w:color="auto"/>
              <w:left w:val="single" w:sz="6" w:space="0" w:color="auto"/>
              <w:right w:val="double" w:sz="6" w:space="0" w:color="auto"/>
            </w:tcBorders>
            <w:shd w:val="clear" w:color="auto" w:fill="auto"/>
            <w:vAlign w:val="center"/>
          </w:tcPr>
          <w:p w:rsidR="0019180C" w:rsidRDefault="0019180C">
            <w:pPr>
              <w:keepNext/>
              <w:jc w:val="center"/>
              <w:rPr>
                <w:snapToGrid w:val="0"/>
                <w:color w:val="0000FF"/>
              </w:rPr>
            </w:pPr>
            <w:r>
              <w:rPr>
                <w:snapToGrid w:val="0"/>
                <w:color w:val="0000FF"/>
              </w:rPr>
              <w:t>--</w:t>
            </w:r>
          </w:p>
        </w:tc>
      </w:tr>
      <w:tr w:rsidR="0019180C" w:rsidTr="00B031E6">
        <w:trPr>
          <w:jc w:val="center"/>
        </w:trPr>
        <w:tc>
          <w:tcPr>
            <w:tcW w:w="1270" w:type="dxa"/>
            <w:tcBorders>
              <w:top w:val="single" w:sz="6" w:space="0" w:color="auto"/>
              <w:left w:val="double" w:sz="6" w:space="0" w:color="auto"/>
            </w:tcBorders>
            <w:shd w:val="clear" w:color="auto" w:fill="auto"/>
          </w:tcPr>
          <w:p w:rsidR="0019180C" w:rsidRDefault="0019180C">
            <w:pPr>
              <w:keepNext/>
              <w:suppressAutoHyphens/>
              <w:jc w:val="center"/>
              <w:rPr>
                <w:spacing w:val="-3"/>
              </w:rPr>
            </w:pPr>
            <w:r>
              <w:rPr>
                <w:spacing w:val="-3"/>
              </w:rPr>
              <w:t>PM</w:t>
            </w:r>
            <w:r>
              <w:rPr>
                <w:spacing w:val="-3"/>
                <w:vertAlign w:val="subscript"/>
              </w:rPr>
              <w:t>10</w:t>
            </w:r>
          </w:p>
        </w:tc>
        <w:tc>
          <w:tcPr>
            <w:tcW w:w="1980" w:type="dxa"/>
            <w:tcBorders>
              <w:top w:val="single" w:sz="6" w:space="0" w:color="auto"/>
              <w:left w:val="single" w:sz="6" w:space="0" w:color="auto"/>
            </w:tcBorders>
            <w:shd w:val="clear" w:color="auto" w:fill="auto"/>
            <w:vAlign w:val="center"/>
          </w:tcPr>
          <w:p w:rsidR="0019180C" w:rsidRDefault="0019180C">
            <w:pPr>
              <w:keepNext/>
              <w:jc w:val="center"/>
              <w:rPr>
                <w:snapToGrid w:val="0"/>
                <w:color w:val="0000FF"/>
              </w:rPr>
            </w:pPr>
            <w:r>
              <w:rPr>
                <w:snapToGrid w:val="0"/>
                <w:color w:val="0000FF"/>
              </w:rPr>
              <w:t>--</w:t>
            </w:r>
          </w:p>
        </w:tc>
        <w:tc>
          <w:tcPr>
            <w:tcW w:w="2070" w:type="dxa"/>
            <w:tcBorders>
              <w:top w:val="single" w:sz="6" w:space="0" w:color="auto"/>
              <w:left w:val="single" w:sz="6" w:space="0" w:color="auto"/>
            </w:tcBorders>
            <w:shd w:val="clear" w:color="auto" w:fill="auto"/>
            <w:vAlign w:val="center"/>
          </w:tcPr>
          <w:p w:rsidR="0019180C" w:rsidRDefault="0019180C">
            <w:pPr>
              <w:keepNext/>
              <w:jc w:val="center"/>
              <w:rPr>
                <w:snapToGrid w:val="0"/>
                <w:color w:val="0000FF"/>
              </w:rPr>
            </w:pPr>
            <w:r>
              <w:rPr>
                <w:snapToGrid w:val="0"/>
                <w:color w:val="0000FF"/>
              </w:rPr>
              <w:t>--</w:t>
            </w:r>
          </w:p>
        </w:tc>
        <w:tc>
          <w:tcPr>
            <w:tcW w:w="2446" w:type="dxa"/>
            <w:tcBorders>
              <w:top w:val="single" w:sz="6" w:space="0" w:color="auto"/>
              <w:left w:val="single" w:sz="6" w:space="0" w:color="auto"/>
              <w:right w:val="double" w:sz="6" w:space="0" w:color="auto"/>
            </w:tcBorders>
            <w:shd w:val="clear" w:color="auto" w:fill="auto"/>
            <w:vAlign w:val="center"/>
          </w:tcPr>
          <w:p w:rsidR="0019180C" w:rsidRDefault="0019180C">
            <w:pPr>
              <w:keepNext/>
              <w:jc w:val="center"/>
              <w:rPr>
                <w:snapToGrid w:val="0"/>
                <w:color w:val="0000FF"/>
              </w:rPr>
            </w:pPr>
            <w:r>
              <w:rPr>
                <w:snapToGrid w:val="0"/>
                <w:color w:val="0000FF"/>
              </w:rPr>
              <w:t>--</w:t>
            </w:r>
          </w:p>
        </w:tc>
      </w:tr>
      <w:tr w:rsidR="0019180C" w:rsidTr="00B031E6">
        <w:trPr>
          <w:jc w:val="center"/>
        </w:trPr>
        <w:tc>
          <w:tcPr>
            <w:tcW w:w="1270" w:type="dxa"/>
            <w:tcBorders>
              <w:top w:val="single" w:sz="6" w:space="0" w:color="auto"/>
              <w:left w:val="double" w:sz="6" w:space="0" w:color="auto"/>
            </w:tcBorders>
            <w:shd w:val="clear" w:color="auto" w:fill="auto"/>
          </w:tcPr>
          <w:p w:rsidR="0019180C" w:rsidRDefault="0019180C">
            <w:pPr>
              <w:keepNext/>
              <w:suppressAutoHyphens/>
              <w:jc w:val="center"/>
              <w:rPr>
                <w:spacing w:val="-3"/>
              </w:rPr>
            </w:pPr>
            <w:r>
              <w:rPr>
                <w:spacing w:val="-3"/>
              </w:rPr>
              <w:t>CO</w:t>
            </w:r>
          </w:p>
        </w:tc>
        <w:tc>
          <w:tcPr>
            <w:tcW w:w="1980" w:type="dxa"/>
            <w:tcBorders>
              <w:top w:val="single" w:sz="6" w:space="0" w:color="auto"/>
              <w:left w:val="single" w:sz="6" w:space="0" w:color="auto"/>
            </w:tcBorders>
            <w:shd w:val="clear" w:color="auto" w:fill="auto"/>
            <w:vAlign w:val="center"/>
          </w:tcPr>
          <w:p w:rsidR="0019180C" w:rsidRDefault="0019180C">
            <w:pPr>
              <w:keepNext/>
              <w:jc w:val="center"/>
              <w:rPr>
                <w:snapToGrid w:val="0"/>
                <w:color w:val="0000FF"/>
              </w:rPr>
            </w:pPr>
            <w:r>
              <w:rPr>
                <w:snapToGrid w:val="0"/>
                <w:color w:val="0000FF"/>
              </w:rPr>
              <w:t>--</w:t>
            </w:r>
          </w:p>
        </w:tc>
        <w:tc>
          <w:tcPr>
            <w:tcW w:w="2070" w:type="dxa"/>
            <w:tcBorders>
              <w:top w:val="single" w:sz="6" w:space="0" w:color="auto"/>
              <w:left w:val="single" w:sz="6" w:space="0" w:color="auto"/>
            </w:tcBorders>
            <w:shd w:val="clear" w:color="auto" w:fill="auto"/>
            <w:vAlign w:val="center"/>
          </w:tcPr>
          <w:p w:rsidR="0019180C" w:rsidRDefault="0019180C">
            <w:pPr>
              <w:keepNext/>
              <w:jc w:val="center"/>
              <w:rPr>
                <w:snapToGrid w:val="0"/>
                <w:color w:val="0000FF"/>
              </w:rPr>
            </w:pPr>
            <w:r>
              <w:rPr>
                <w:snapToGrid w:val="0"/>
                <w:color w:val="0000FF"/>
              </w:rPr>
              <w:t>--</w:t>
            </w:r>
          </w:p>
        </w:tc>
        <w:tc>
          <w:tcPr>
            <w:tcW w:w="2446" w:type="dxa"/>
            <w:tcBorders>
              <w:top w:val="single" w:sz="6" w:space="0" w:color="auto"/>
              <w:left w:val="single" w:sz="6" w:space="0" w:color="auto"/>
              <w:right w:val="double" w:sz="6" w:space="0" w:color="auto"/>
            </w:tcBorders>
            <w:shd w:val="clear" w:color="auto" w:fill="auto"/>
            <w:vAlign w:val="center"/>
          </w:tcPr>
          <w:p w:rsidR="0019180C" w:rsidRDefault="0019180C">
            <w:pPr>
              <w:keepNext/>
              <w:jc w:val="center"/>
              <w:rPr>
                <w:snapToGrid w:val="0"/>
                <w:color w:val="0000FF"/>
              </w:rPr>
            </w:pPr>
            <w:r>
              <w:rPr>
                <w:snapToGrid w:val="0"/>
                <w:color w:val="0000FF"/>
              </w:rPr>
              <w:t>--</w:t>
            </w:r>
          </w:p>
        </w:tc>
      </w:tr>
      <w:tr w:rsidR="0019180C" w:rsidTr="00B031E6">
        <w:trPr>
          <w:jc w:val="center"/>
        </w:trPr>
        <w:tc>
          <w:tcPr>
            <w:tcW w:w="1270" w:type="dxa"/>
            <w:tcBorders>
              <w:top w:val="single" w:sz="6" w:space="0" w:color="auto"/>
              <w:left w:val="double" w:sz="6" w:space="0" w:color="auto"/>
              <w:bottom w:val="double" w:sz="6" w:space="0" w:color="auto"/>
            </w:tcBorders>
            <w:shd w:val="clear" w:color="auto" w:fill="auto"/>
          </w:tcPr>
          <w:p w:rsidR="0019180C" w:rsidRDefault="0019180C">
            <w:pPr>
              <w:keepNext/>
              <w:suppressAutoHyphens/>
              <w:jc w:val="center"/>
              <w:rPr>
                <w:spacing w:val="-3"/>
              </w:rPr>
            </w:pPr>
            <w:r>
              <w:rPr>
                <w:spacing w:val="-3"/>
              </w:rPr>
              <w:t>VOC</w:t>
            </w:r>
          </w:p>
        </w:tc>
        <w:tc>
          <w:tcPr>
            <w:tcW w:w="1980" w:type="dxa"/>
            <w:tcBorders>
              <w:top w:val="single" w:sz="6" w:space="0" w:color="auto"/>
              <w:left w:val="single" w:sz="6" w:space="0" w:color="auto"/>
              <w:bottom w:val="double" w:sz="6" w:space="0" w:color="auto"/>
            </w:tcBorders>
            <w:shd w:val="clear" w:color="auto" w:fill="auto"/>
            <w:vAlign w:val="center"/>
          </w:tcPr>
          <w:p w:rsidR="0019180C" w:rsidRDefault="0019180C">
            <w:pPr>
              <w:keepNext/>
              <w:jc w:val="center"/>
              <w:rPr>
                <w:snapToGrid w:val="0"/>
                <w:color w:val="0000FF"/>
              </w:rPr>
            </w:pPr>
            <w:r>
              <w:rPr>
                <w:snapToGrid w:val="0"/>
                <w:color w:val="0000FF"/>
              </w:rPr>
              <w:t>[  ]</w:t>
            </w:r>
          </w:p>
        </w:tc>
        <w:tc>
          <w:tcPr>
            <w:tcW w:w="2070" w:type="dxa"/>
            <w:tcBorders>
              <w:top w:val="single" w:sz="6" w:space="0" w:color="auto"/>
              <w:left w:val="single" w:sz="6" w:space="0" w:color="auto"/>
              <w:bottom w:val="double" w:sz="6" w:space="0" w:color="auto"/>
            </w:tcBorders>
            <w:shd w:val="clear" w:color="auto" w:fill="auto"/>
            <w:vAlign w:val="center"/>
          </w:tcPr>
          <w:p w:rsidR="0019180C" w:rsidRDefault="0019180C">
            <w:pPr>
              <w:keepNext/>
              <w:jc w:val="center"/>
              <w:rPr>
                <w:snapToGrid w:val="0"/>
                <w:color w:val="0000FF"/>
              </w:rPr>
            </w:pPr>
            <w:r>
              <w:rPr>
                <w:snapToGrid w:val="0"/>
                <w:color w:val="0000FF"/>
              </w:rPr>
              <w:t>[  ]</w:t>
            </w:r>
          </w:p>
        </w:tc>
        <w:tc>
          <w:tcPr>
            <w:tcW w:w="2446" w:type="dxa"/>
            <w:tcBorders>
              <w:top w:val="single" w:sz="6" w:space="0" w:color="auto"/>
              <w:left w:val="single" w:sz="6" w:space="0" w:color="auto"/>
              <w:bottom w:val="double" w:sz="6" w:space="0" w:color="auto"/>
              <w:right w:val="double" w:sz="6" w:space="0" w:color="auto"/>
            </w:tcBorders>
            <w:shd w:val="clear" w:color="auto" w:fill="auto"/>
            <w:vAlign w:val="center"/>
          </w:tcPr>
          <w:p w:rsidR="0019180C" w:rsidRDefault="0019180C">
            <w:pPr>
              <w:keepNext/>
              <w:jc w:val="center"/>
              <w:rPr>
                <w:snapToGrid w:val="0"/>
                <w:color w:val="0000FF"/>
              </w:rPr>
            </w:pPr>
            <w:r>
              <w:rPr>
                <w:snapToGrid w:val="0"/>
                <w:color w:val="0000FF"/>
              </w:rPr>
              <w:t>[  ]</w:t>
            </w:r>
          </w:p>
        </w:tc>
      </w:tr>
    </w:tbl>
    <w:p w:rsidR="0019180C" w:rsidRDefault="0019180C">
      <w:pPr>
        <w:suppressAutoHyphens/>
        <w:jc w:val="both"/>
        <w:rPr>
          <w:spacing w:val="-3"/>
        </w:rPr>
      </w:pPr>
    </w:p>
    <w:p w:rsidR="0019180C" w:rsidRDefault="0019180C">
      <w:pPr>
        <w:pStyle w:val="Heading3"/>
      </w:pPr>
      <w:r>
        <w:t xml:space="preserve">BACT Guidance </w:t>
      </w:r>
    </w:p>
    <w:p w:rsidR="0019180C" w:rsidRDefault="0019180C">
      <w:pPr>
        <w:suppressAutoHyphens/>
        <w:jc w:val="both"/>
        <w:rPr>
          <w:spacing w:val="-3"/>
        </w:rPr>
      </w:pPr>
    </w:p>
    <w:p w:rsidR="0019180C" w:rsidRDefault="0019180C">
      <w:pPr>
        <w:suppressAutoHyphens/>
        <w:ind w:left="810" w:hanging="720"/>
        <w:jc w:val="both"/>
        <w:rPr>
          <w:spacing w:val="-3"/>
        </w:rPr>
      </w:pPr>
      <w:r>
        <w:rPr>
          <w:spacing w:val="-3"/>
        </w:rPr>
        <w:tab/>
        <w:t>Per District Policy APR 1305, Section IX, “A top-down BACT analysis shall be performed as a part of the Application Review for each application subject to the BACT requirements pursuant to the District’s NSR Rule for source categories or classes covered in the BACT Clearinghouse, relevant information under each of the following steps may be simply cited from the Clearinghouse without further analysis."</w:t>
      </w:r>
    </w:p>
    <w:p w:rsidR="0019180C" w:rsidRDefault="0019180C">
      <w:pPr>
        <w:suppressAutoHyphens/>
        <w:jc w:val="both"/>
        <w:rPr>
          <w:spacing w:val="-3"/>
        </w:rPr>
      </w:pPr>
    </w:p>
    <w:p w:rsidR="0019180C" w:rsidRDefault="0019180C">
      <w:pPr>
        <w:suppressAutoHyphens/>
        <w:ind w:left="810"/>
        <w:jc w:val="both"/>
        <w:rPr>
          <w:spacing w:val="-3"/>
        </w:rPr>
      </w:pPr>
      <w:r>
        <w:rPr>
          <w:spacing w:val="-3"/>
        </w:rPr>
        <w:t xml:space="preserve">SJVUAPCD BACT Clearinghouse Guideline </w:t>
      </w:r>
      <w:r>
        <w:rPr>
          <w:color w:val="0000FF"/>
          <w:spacing w:val="-3"/>
        </w:rPr>
        <w:t>2.1.1</w:t>
      </w:r>
      <w:r>
        <w:rPr>
          <w:spacing w:val="-3"/>
        </w:rPr>
        <w:t xml:space="preserve"> specifies the achieved in practice or contained in SIP BACT and technologically feasible BACT for soil remediation operations utilizing a thermal/catalytic oxidation system.  Therefore, relevant information will be cited without further analysis.</w:t>
      </w:r>
    </w:p>
    <w:p w:rsidR="0019180C" w:rsidRDefault="0019180C">
      <w:pPr>
        <w:suppressAutoHyphens/>
        <w:jc w:val="both"/>
        <w:rPr>
          <w:spacing w:val="-3"/>
        </w:rPr>
      </w:pPr>
    </w:p>
    <w:p w:rsidR="0019180C" w:rsidRDefault="0019180C">
      <w:pPr>
        <w:suppressAutoHyphens/>
        <w:ind w:left="90" w:firstLine="720"/>
        <w:jc w:val="both"/>
        <w:rPr>
          <w:color w:val="0000FF"/>
          <w:spacing w:val="-3"/>
        </w:rPr>
      </w:pPr>
      <w:r>
        <w:rPr>
          <w:i/>
          <w:iCs/>
          <w:color w:val="0000FF"/>
          <w:spacing w:val="-3"/>
        </w:rPr>
        <w:t>See Appendix I: BACT Clearinghouse Guideline 2.1.1</w:t>
      </w:r>
    </w:p>
    <w:p w:rsidR="0019180C" w:rsidRDefault="0019180C">
      <w:pPr>
        <w:suppressAutoHyphens/>
        <w:jc w:val="both"/>
        <w:rPr>
          <w:spacing w:val="-3"/>
        </w:rPr>
      </w:pPr>
    </w:p>
    <w:p w:rsidR="0019180C" w:rsidRDefault="0019180C">
      <w:pPr>
        <w:pStyle w:val="Heading3"/>
      </w:pPr>
      <w:r>
        <w:t>Top-Down BACT Analysis</w:t>
      </w:r>
    </w:p>
    <w:p w:rsidR="0019180C" w:rsidRDefault="0019180C">
      <w:pPr>
        <w:suppressAutoHyphens/>
        <w:jc w:val="both"/>
        <w:rPr>
          <w:spacing w:val="-3"/>
        </w:rPr>
      </w:pPr>
    </w:p>
    <w:p w:rsidR="0019180C" w:rsidRDefault="0019180C">
      <w:pPr>
        <w:suppressAutoHyphens/>
        <w:ind w:left="720"/>
        <w:jc w:val="both"/>
        <w:rPr>
          <w:spacing w:val="-3"/>
          <w:u w:val="single"/>
        </w:rPr>
      </w:pPr>
      <w:r>
        <w:rPr>
          <w:spacing w:val="-3"/>
          <w:u w:val="single"/>
        </w:rPr>
        <w:t>VOC:</w:t>
      </w:r>
    </w:p>
    <w:p w:rsidR="0019180C" w:rsidRDefault="0019180C">
      <w:pPr>
        <w:suppressAutoHyphens/>
        <w:jc w:val="both"/>
        <w:rPr>
          <w:spacing w:val="-3"/>
          <w:u w:val="single"/>
        </w:rPr>
      </w:pPr>
    </w:p>
    <w:p w:rsidR="0019180C" w:rsidRDefault="0019180C">
      <w:pPr>
        <w:suppressAutoHyphens/>
        <w:ind w:left="720" w:hanging="720"/>
        <w:jc w:val="both"/>
        <w:rPr>
          <w:spacing w:val="-3"/>
        </w:rPr>
      </w:pPr>
      <w:r>
        <w:rPr>
          <w:spacing w:val="-3"/>
        </w:rPr>
        <w:tab/>
        <w:t xml:space="preserve">The applicant is proposing to use a </w:t>
      </w:r>
      <w:r>
        <w:rPr>
          <w:color w:val="0000FF"/>
          <w:spacing w:val="-3"/>
        </w:rPr>
        <w:t>thermal/catalytic oxidizer at 95% or greater control efficiency</w:t>
      </w:r>
      <w:r>
        <w:rPr>
          <w:spacing w:val="-3"/>
        </w:rPr>
        <w:t xml:space="preserve">.  Per the Top-Down analysis in </w:t>
      </w:r>
      <w:r>
        <w:rPr>
          <w:color w:val="0000FF"/>
          <w:spacing w:val="-3"/>
        </w:rPr>
        <w:t>Appendix I</w:t>
      </w:r>
      <w:r>
        <w:rPr>
          <w:color w:val="FF0000"/>
          <w:spacing w:val="-3"/>
        </w:rPr>
        <w:t xml:space="preserve"> </w:t>
      </w:r>
      <w:r>
        <w:rPr>
          <w:spacing w:val="-3"/>
        </w:rPr>
        <w:t xml:space="preserve">of this evaluation, the proposed equipment satisfies the BACT requirement. </w:t>
      </w:r>
    </w:p>
    <w:p w:rsidR="0019180C" w:rsidRDefault="0019180C">
      <w:pPr>
        <w:suppressAutoHyphens/>
        <w:ind w:left="810" w:hanging="720"/>
        <w:jc w:val="both"/>
        <w:rPr>
          <w:spacing w:val="-3"/>
        </w:rPr>
      </w:pPr>
      <w:r>
        <w:rPr>
          <w:spacing w:val="-3"/>
        </w:rPr>
        <w:tab/>
      </w:r>
    </w:p>
    <w:p w:rsidR="0019180C" w:rsidRDefault="0019180C">
      <w:pPr>
        <w:suppressAutoHyphens/>
        <w:ind w:left="810" w:hanging="90"/>
        <w:jc w:val="both"/>
        <w:rPr>
          <w:color w:val="FF0000"/>
          <w:spacing w:val="-3"/>
        </w:rPr>
      </w:pPr>
      <w:r>
        <w:rPr>
          <w:color w:val="FF0000"/>
          <w:spacing w:val="-3"/>
        </w:rPr>
        <w:t xml:space="preserve">(Add the following section if BACT for </w:t>
      </w:r>
      <w:r>
        <w:rPr>
          <w:rFonts w:cs="Arial"/>
          <w:color w:val="FF0000"/>
          <w:spacing w:val="-3"/>
        </w:rPr>
        <w:t>NO</w:t>
      </w:r>
      <w:r>
        <w:rPr>
          <w:rFonts w:cs="Arial"/>
          <w:color w:val="FF0000"/>
          <w:spacing w:val="-3"/>
          <w:vertAlign w:val="subscript"/>
        </w:rPr>
        <w:t>x</w:t>
      </w:r>
      <w:r>
        <w:rPr>
          <w:color w:val="FF0000"/>
          <w:spacing w:val="-3"/>
        </w:rPr>
        <w:t xml:space="preserve"> is triggered; otherwise, delete.)</w:t>
      </w:r>
    </w:p>
    <w:p w:rsidR="0019180C" w:rsidRDefault="0019180C">
      <w:pPr>
        <w:suppressAutoHyphens/>
        <w:ind w:left="810" w:hanging="90"/>
        <w:jc w:val="both"/>
        <w:rPr>
          <w:color w:val="FF0000"/>
          <w:spacing w:val="-3"/>
        </w:rPr>
      </w:pPr>
    </w:p>
    <w:p w:rsidR="0019180C" w:rsidRDefault="0019180C">
      <w:pPr>
        <w:keepNext/>
        <w:suppressAutoHyphens/>
        <w:ind w:left="810" w:hanging="90"/>
        <w:jc w:val="both"/>
        <w:rPr>
          <w:spacing w:val="-3"/>
        </w:rPr>
      </w:pPr>
      <w:r>
        <w:rPr>
          <w:spacing w:val="-3"/>
          <w:u w:val="single"/>
        </w:rPr>
        <w:t>NOx:</w:t>
      </w:r>
    </w:p>
    <w:p w:rsidR="0019180C" w:rsidRDefault="0019180C">
      <w:pPr>
        <w:keepNext/>
        <w:suppressAutoHyphens/>
        <w:jc w:val="both"/>
      </w:pPr>
      <w:r>
        <w:rPr>
          <w:spacing w:val="-3"/>
        </w:rPr>
        <w:tab/>
      </w:r>
    </w:p>
    <w:p w:rsidR="0019180C" w:rsidRDefault="0019180C">
      <w:pPr>
        <w:pStyle w:val="BodyTextIndent"/>
        <w:keepNext/>
      </w:pPr>
      <w:r>
        <w:t xml:space="preserve">The applicant is proposing to use a </w:t>
      </w:r>
      <w:r>
        <w:rPr>
          <w:color w:val="0000FF"/>
        </w:rPr>
        <w:t>thermal/catalytic oxidizer at 95% or greater control efficiency</w:t>
      </w:r>
      <w:r>
        <w:t xml:space="preserve">.  Per the Top-Down analysis in </w:t>
      </w:r>
      <w:r>
        <w:rPr>
          <w:color w:val="0000FF"/>
        </w:rPr>
        <w:t>Appendix I</w:t>
      </w:r>
      <w:r>
        <w:rPr>
          <w:color w:val="FF0000"/>
        </w:rPr>
        <w:t xml:space="preserve"> </w:t>
      </w:r>
      <w:r>
        <w:t>of this evaluation, the proposed equipment satisfies the BACT requirement.</w:t>
      </w:r>
    </w:p>
    <w:p w:rsidR="0019180C" w:rsidRDefault="0019180C">
      <w:pPr>
        <w:suppressAutoHyphens/>
        <w:jc w:val="both"/>
        <w:rPr>
          <w:spacing w:val="-3"/>
        </w:rPr>
      </w:pPr>
    </w:p>
    <w:p w:rsidR="0019180C" w:rsidRDefault="0019180C">
      <w:pPr>
        <w:pStyle w:val="Heading2"/>
      </w:pPr>
      <w:r>
        <w:t>Offsets</w:t>
      </w:r>
    </w:p>
    <w:p w:rsidR="0019180C" w:rsidRDefault="0019180C">
      <w:pPr>
        <w:tabs>
          <w:tab w:val="left" w:pos="-720"/>
          <w:tab w:val="left" w:pos="0"/>
          <w:tab w:val="left" w:pos="720"/>
        </w:tabs>
        <w:suppressAutoHyphens/>
        <w:jc w:val="both"/>
        <w:rPr>
          <w:spacing w:val="-3"/>
        </w:rPr>
      </w:pPr>
    </w:p>
    <w:p w:rsidR="0019180C" w:rsidRDefault="0019180C">
      <w:pPr>
        <w:pStyle w:val="Heading3"/>
      </w:pPr>
      <w:r>
        <w:t>Offset Applicability</w:t>
      </w:r>
    </w:p>
    <w:p w:rsidR="0019180C" w:rsidRDefault="0019180C">
      <w:pPr>
        <w:suppressAutoHyphens/>
        <w:ind w:left="720"/>
        <w:jc w:val="both"/>
        <w:rPr>
          <w:spacing w:val="-3"/>
        </w:rPr>
      </w:pPr>
    </w:p>
    <w:p w:rsidR="0019180C" w:rsidRDefault="0019180C">
      <w:pPr>
        <w:suppressAutoHyphens/>
        <w:ind w:left="720"/>
        <w:rPr>
          <w:spacing w:val="-3"/>
        </w:rPr>
      </w:pPr>
      <w:r>
        <w:t xml:space="preserve">Pursuant to Section 4.5.3, offset requirements shall be triggered on a pollutant by pollutant basis and shall be required if the Post Project Stationary Source Potential to Emit (SSPE2) equals to or exceeds </w:t>
      </w:r>
      <w:r>
        <w:rPr>
          <w:spacing w:val="-3"/>
        </w:rPr>
        <w:t>the offset threshold levels in Table 4-1 of Rule 2201.</w:t>
      </w:r>
    </w:p>
    <w:p w:rsidR="0019180C" w:rsidRDefault="0019180C">
      <w:pPr>
        <w:suppressAutoHyphens/>
        <w:ind w:left="720"/>
        <w:rPr>
          <w:spacing w:val="-3"/>
        </w:rPr>
      </w:pPr>
    </w:p>
    <w:p w:rsidR="0019180C" w:rsidRDefault="0019180C">
      <w:pPr>
        <w:pStyle w:val="BodyTextIndent2"/>
        <w:ind w:left="720"/>
      </w:pPr>
      <w:r>
        <w:t>The following table compares the post-project facility-wide annual emissions in order to determine if offsets will be required for this project.</w:t>
      </w:r>
    </w:p>
    <w:p w:rsidR="0019180C" w:rsidRDefault="0019180C">
      <w:pPr>
        <w:ind w:left="720"/>
        <w:rPr>
          <w:color w:val="000000"/>
        </w:rPr>
      </w:pP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278"/>
        <w:gridCol w:w="1278"/>
        <w:gridCol w:w="1278"/>
        <w:gridCol w:w="1278"/>
        <w:gridCol w:w="1278"/>
      </w:tblGrid>
      <w:tr w:rsidR="0019180C" w:rsidTr="00B031E6">
        <w:trPr>
          <w:cantSplit/>
          <w:trHeight w:val="300"/>
        </w:trPr>
        <w:tc>
          <w:tcPr>
            <w:tcW w:w="9180" w:type="dxa"/>
            <w:gridSpan w:val="6"/>
            <w:tcBorders>
              <w:top w:val="double" w:sz="4" w:space="0" w:color="auto"/>
              <w:left w:val="double" w:sz="4" w:space="0" w:color="auto"/>
              <w:bottom w:val="nil"/>
              <w:right w:val="double" w:sz="4" w:space="0" w:color="auto"/>
            </w:tcBorders>
            <w:shd w:val="clear" w:color="auto" w:fill="auto"/>
            <w:vAlign w:val="center"/>
          </w:tcPr>
          <w:p w:rsidR="0019180C" w:rsidRDefault="0019180C">
            <w:pPr>
              <w:keepNext/>
              <w:suppressAutoHyphens/>
              <w:jc w:val="center"/>
              <w:rPr>
                <w:b/>
              </w:rPr>
            </w:pPr>
            <w:r>
              <w:rPr>
                <w:b/>
              </w:rPr>
              <w:t>Offset Determination (lb/year)</w:t>
            </w:r>
          </w:p>
        </w:tc>
      </w:tr>
      <w:tr w:rsidR="0019180C" w:rsidTr="00B031E6">
        <w:trPr>
          <w:trHeight w:val="220"/>
        </w:trPr>
        <w:tc>
          <w:tcPr>
            <w:tcW w:w="2790" w:type="dxa"/>
            <w:tcBorders>
              <w:top w:val="double" w:sz="4" w:space="0" w:color="auto"/>
              <w:left w:val="double" w:sz="4" w:space="0" w:color="auto"/>
              <w:bottom w:val="single" w:sz="12" w:space="0" w:color="auto"/>
            </w:tcBorders>
            <w:shd w:val="clear" w:color="auto" w:fill="auto"/>
            <w:vAlign w:val="center"/>
          </w:tcPr>
          <w:p w:rsidR="0019180C" w:rsidRDefault="0019180C">
            <w:pPr>
              <w:keepNext/>
              <w:suppressAutoHyphens/>
              <w:jc w:val="center"/>
            </w:pPr>
          </w:p>
        </w:tc>
        <w:tc>
          <w:tcPr>
            <w:tcW w:w="1278" w:type="dxa"/>
            <w:tcBorders>
              <w:top w:val="double" w:sz="4" w:space="0" w:color="auto"/>
              <w:bottom w:val="single" w:sz="12" w:space="0" w:color="auto"/>
            </w:tcBorders>
            <w:shd w:val="clear" w:color="auto" w:fill="auto"/>
            <w:vAlign w:val="center"/>
          </w:tcPr>
          <w:p w:rsidR="0019180C" w:rsidRDefault="0019180C">
            <w:pPr>
              <w:keepNext/>
              <w:suppressAutoHyphens/>
              <w:jc w:val="center"/>
            </w:pPr>
            <w:r>
              <w:t>NO</w:t>
            </w:r>
            <w:r>
              <w:rPr>
                <w:vertAlign w:val="subscript"/>
              </w:rPr>
              <w:t>X</w:t>
            </w:r>
          </w:p>
        </w:tc>
        <w:tc>
          <w:tcPr>
            <w:tcW w:w="1278" w:type="dxa"/>
            <w:tcBorders>
              <w:top w:val="double" w:sz="4" w:space="0" w:color="auto"/>
              <w:bottom w:val="single" w:sz="12" w:space="0" w:color="auto"/>
            </w:tcBorders>
            <w:shd w:val="clear" w:color="auto" w:fill="auto"/>
            <w:vAlign w:val="center"/>
          </w:tcPr>
          <w:p w:rsidR="0019180C" w:rsidRDefault="0019180C">
            <w:pPr>
              <w:keepNext/>
              <w:suppressAutoHyphens/>
              <w:jc w:val="center"/>
            </w:pPr>
            <w:r>
              <w:t>SO</w:t>
            </w:r>
            <w:r>
              <w:rPr>
                <w:vertAlign w:val="subscript"/>
              </w:rPr>
              <w:t>X</w:t>
            </w:r>
          </w:p>
        </w:tc>
        <w:tc>
          <w:tcPr>
            <w:tcW w:w="1278" w:type="dxa"/>
            <w:tcBorders>
              <w:top w:val="double" w:sz="4" w:space="0" w:color="auto"/>
              <w:bottom w:val="single" w:sz="12" w:space="0" w:color="auto"/>
            </w:tcBorders>
            <w:shd w:val="clear" w:color="auto" w:fill="auto"/>
            <w:vAlign w:val="center"/>
          </w:tcPr>
          <w:p w:rsidR="0019180C" w:rsidRDefault="0019180C">
            <w:pPr>
              <w:keepNext/>
              <w:suppressAutoHyphens/>
              <w:jc w:val="center"/>
            </w:pPr>
            <w:r>
              <w:t>PM</w:t>
            </w:r>
            <w:r>
              <w:rPr>
                <w:vertAlign w:val="subscript"/>
              </w:rPr>
              <w:t>10</w:t>
            </w:r>
          </w:p>
        </w:tc>
        <w:tc>
          <w:tcPr>
            <w:tcW w:w="1278" w:type="dxa"/>
            <w:tcBorders>
              <w:top w:val="double" w:sz="4" w:space="0" w:color="auto"/>
              <w:bottom w:val="single" w:sz="12" w:space="0" w:color="auto"/>
              <w:right w:val="single" w:sz="4" w:space="0" w:color="auto"/>
            </w:tcBorders>
            <w:shd w:val="clear" w:color="auto" w:fill="auto"/>
            <w:vAlign w:val="center"/>
          </w:tcPr>
          <w:p w:rsidR="0019180C" w:rsidRDefault="0019180C">
            <w:pPr>
              <w:keepNext/>
              <w:suppressAutoHyphens/>
              <w:jc w:val="center"/>
            </w:pPr>
            <w:r>
              <w:t>CO</w:t>
            </w:r>
          </w:p>
        </w:tc>
        <w:tc>
          <w:tcPr>
            <w:tcW w:w="1278" w:type="dxa"/>
            <w:tcBorders>
              <w:top w:val="double" w:sz="4" w:space="0" w:color="auto"/>
              <w:left w:val="single" w:sz="4" w:space="0" w:color="auto"/>
              <w:bottom w:val="single" w:sz="12" w:space="0" w:color="auto"/>
              <w:right w:val="double" w:sz="4" w:space="0" w:color="auto"/>
            </w:tcBorders>
            <w:shd w:val="clear" w:color="auto" w:fill="auto"/>
            <w:vAlign w:val="center"/>
          </w:tcPr>
          <w:p w:rsidR="0019180C" w:rsidRDefault="0019180C">
            <w:pPr>
              <w:keepNext/>
              <w:suppressAutoHyphens/>
              <w:jc w:val="center"/>
            </w:pPr>
            <w:r>
              <w:t>VOC</w:t>
            </w:r>
          </w:p>
        </w:tc>
      </w:tr>
      <w:tr w:rsidR="0019180C">
        <w:tc>
          <w:tcPr>
            <w:tcW w:w="2790" w:type="dxa"/>
            <w:tcBorders>
              <w:top w:val="single" w:sz="12" w:space="0" w:color="auto"/>
              <w:left w:val="double" w:sz="4" w:space="0" w:color="auto"/>
            </w:tcBorders>
            <w:vAlign w:val="center"/>
          </w:tcPr>
          <w:p w:rsidR="0019180C" w:rsidRDefault="0019180C">
            <w:pPr>
              <w:keepNext/>
              <w:suppressAutoHyphens/>
            </w:pPr>
            <w:r>
              <w:rPr>
                <w:snapToGrid w:val="0"/>
                <w:color w:val="000000"/>
              </w:rPr>
              <w:t xml:space="preserve">Post Project </w:t>
            </w:r>
            <w:r>
              <w:t>SSPE (SSPE2)</w:t>
            </w:r>
          </w:p>
        </w:tc>
        <w:tc>
          <w:tcPr>
            <w:tcW w:w="1278" w:type="dxa"/>
            <w:tcBorders>
              <w:top w:val="single" w:sz="12" w:space="0" w:color="auto"/>
            </w:tcBorders>
            <w:vAlign w:val="center"/>
          </w:tcPr>
          <w:p w:rsidR="0019180C" w:rsidRDefault="0019180C">
            <w:pPr>
              <w:keepNext/>
              <w:jc w:val="center"/>
            </w:pPr>
            <w:r>
              <w:t>- -</w:t>
            </w:r>
          </w:p>
        </w:tc>
        <w:tc>
          <w:tcPr>
            <w:tcW w:w="1278" w:type="dxa"/>
            <w:tcBorders>
              <w:top w:val="single" w:sz="12" w:space="0" w:color="auto"/>
            </w:tcBorders>
            <w:vAlign w:val="center"/>
          </w:tcPr>
          <w:p w:rsidR="0019180C" w:rsidRDefault="0019180C">
            <w:pPr>
              <w:keepNext/>
              <w:jc w:val="center"/>
              <w:rPr>
                <w:spacing w:val="-3"/>
              </w:rPr>
            </w:pPr>
            <w:r>
              <w:rPr>
                <w:spacing w:val="-3"/>
              </w:rPr>
              <w:t>- -</w:t>
            </w:r>
          </w:p>
        </w:tc>
        <w:tc>
          <w:tcPr>
            <w:tcW w:w="1278" w:type="dxa"/>
            <w:tcBorders>
              <w:top w:val="single" w:sz="12" w:space="0" w:color="auto"/>
            </w:tcBorders>
            <w:vAlign w:val="center"/>
          </w:tcPr>
          <w:p w:rsidR="0019180C" w:rsidRDefault="0019180C">
            <w:pPr>
              <w:keepNext/>
              <w:jc w:val="center"/>
            </w:pPr>
            <w:r>
              <w:t>- -</w:t>
            </w:r>
          </w:p>
        </w:tc>
        <w:tc>
          <w:tcPr>
            <w:tcW w:w="1278" w:type="dxa"/>
            <w:tcBorders>
              <w:top w:val="single" w:sz="12" w:space="0" w:color="auto"/>
              <w:right w:val="single" w:sz="4" w:space="0" w:color="auto"/>
            </w:tcBorders>
            <w:vAlign w:val="center"/>
          </w:tcPr>
          <w:p w:rsidR="0019180C" w:rsidRDefault="0019180C">
            <w:pPr>
              <w:keepNext/>
              <w:jc w:val="center"/>
            </w:pPr>
            <w:r>
              <w:t>- -</w:t>
            </w:r>
          </w:p>
        </w:tc>
        <w:tc>
          <w:tcPr>
            <w:tcW w:w="1278" w:type="dxa"/>
            <w:tcBorders>
              <w:top w:val="single" w:sz="12" w:space="0" w:color="auto"/>
              <w:left w:val="single" w:sz="4" w:space="0" w:color="auto"/>
              <w:right w:val="double" w:sz="4" w:space="0" w:color="auto"/>
            </w:tcBorders>
            <w:vAlign w:val="center"/>
          </w:tcPr>
          <w:p w:rsidR="0019180C" w:rsidRDefault="0019180C">
            <w:pPr>
              <w:keepNext/>
              <w:jc w:val="center"/>
            </w:pPr>
            <w:r>
              <w:t>- -</w:t>
            </w:r>
          </w:p>
        </w:tc>
      </w:tr>
      <w:tr w:rsidR="0019180C">
        <w:tc>
          <w:tcPr>
            <w:tcW w:w="2790" w:type="dxa"/>
            <w:tcBorders>
              <w:left w:val="double" w:sz="4" w:space="0" w:color="auto"/>
              <w:bottom w:val="nil"/>
            </w:tcBorders>
            <w:vAlign w:val="center"/>
          </w:tcPr>
          <w:p w:rsidR="0019180C" w:rsidRDefault="0019180C">
            <w:pPr>
              <w:keepNext/>
              <w:suppressAutoHyphens/>
            </w:pPr>
            <w:r>
              <w:t>Offset Threshold</w:t>
            </w:r>
          </w:p>
        </w:tc>
        <w:tc>
          <w:tcPr>
            <w:tcW w:w="1278" w:type="dxa"/>
            <w:tcBorders>
              <w:bottom w:val="nil"/>
            </w:tcBorders>
          </w:tcPr>
          <w:p w:rsidR="0019180C" w:rsidRDefault="0019180C">
            <w:pPr>
              <w:keepNext/>
              <w:suppressAutoHyphens/>
              <w:jc w:val="center"/>
            </w:pPr>
            <w:r>
              <w:t>20,000</w:t>
            </w:r>
          </w:p>
        </w:tc>
        <w:tc>
          <w:tcPr>
            <w:tcW w:w="1278" w:type="dxa"/>
            <w:tcBorders>
              <w:bottom w:val="nil"/>
            </w:tcBorders>
          </w:tcPr>
          <w:p w:rsidR="0019180C" w:rsidRDefault="0019180C">
            <w:pPr>
              <w:keepNext/>
              <w:suppressAutoHyphens/>
              <w:jc w:val="center"/>
            </w:pPr>
            <w:r>
              <w:t>54,750</w:t>
            </w:r>
          </w:p>
        </w:tc>
        <w:tc>
          <w:tcPr>
            <w:tcW w:w="1278" w:type="dxa"/>
            <w:tcBorders>
              <w:bottom w:val="nil"/>
            </w:tcBorders>
          </w:tcPr>
          <w:p w:rsidR="0019180C" w:rsidRDefault="0019180C">
            <w:pPr>
              <w:keepNext/>
              <w:suppressAutoHyphens/>
              <w:jc w:val="center"/>
            </w:pPr>
            <w:r>
              <w:t>29,200</w:t>
            </w:r>
          </w:p>
        </w:tc>
        <w:tc>
          <w:tcPr>
            <w:tcW w:w="1278" w:type="dxa"/>
            <w:tcBorders>
              <w:bottom w:val="nil"/>
              <w:right w:val="single" w:sz="4" w:space="0" w:color="auto"/>
            </w:tcBorders>
          </w:tcPr>
          <w:p w:rsidR="0019180C" w:rsidRDefault="0019180C">
            <w:pPr>
              <w:keepNext/>
              <w:suppressAutoHyphens/>
              <w:jc w:val="center"/>
            </w:pPr>
            <w:r>
              <w:t>200,000</w:t>
            </w:r>
          </w:p>
        </w:tc>
        <w:tc>
          <w:tcPr>
            <w:tcW w:w="1278" w:type="dxa"/>
            <w:tcBorders>
              <w:left w:val="single" w:sz="4" w:space="0" w:color="auto"/>
              <w:bottom w:val="nil"/>
              <w:right w:val="double" w:sz="4" w:space="0" w:color="auto"/>
            </w:tcBorders>
          </w:tcPr>
          <w:p w:rsidR="0019180C" w:rsidRDefault="0019180C">
            <w:pPr>
              <w:keepNext/>
              <w:suppressAutoHyphens/>
              <w:jc w:val="center"/>
            </w:pPr>
            <w:r>
              <w:t>20,000</w:t>
            </w:r>
          </w:p>
        </w:tc>
      </w:tr>
      <w:tr w:rsidR="0019180C">
        <w:tc>
          <w:tcPr>
            <w:tcW w:w="2790" w:type="dxa"/>
            <w:tcBorders>
              <w:top w:val="single" w:sz="18" w:space="0" w:color="auto"/>
              <w:left w:val="double" w:sz="4" w:space="0" w:color="auto"/>
              <w:bottom w:val="double" w:sz="4" w:space="0" w:color="auto"/>
            </w:tcBorders>
            <w:vAlign w:val="center"/>
          </w:tcPr>
          <w:p w:rsidR="0019180C" w:rsidRDefault="0019180C">
            <w:pPr>
              <w:keepNext/>
              <w:suppressAutoHyphens/>
            </w:pPr>
            <w:r>
              <w:t>Offsets triggered?</w:t>
            </w:r>
          </w:p>
        </w:tc>
        <w:tc>
          <w:tcPr>
            <w:tcW w:w="1278" w:type="dxa"/>
            <w:tcBorders>
              <w:top w:val="single" w:sz="18" w:space="0" w:color="auto"/>
              <w:bottom w:val="double" w:sz="4" w:space="0" w:color="auto"/>
            </w:tcBorders>
            <w:vAlign w:val="center"/>
          </w:tcPr>
          <w:p w:rsidR="0019180C" w:rsidRDefault="0019180C">
            <w:pPr>
              <w:keepNext/>
              <w:suppressAutoHyphens/>
              <w:jc w:val="center"/>
            </w:pPr>
            <w:r>
              <w:t>No</w:t>
            </w:r>
          </w:p>
        </w:tc>
        <w:tc>
          <w:tcPr>
            <w:tcW w:w="1278" w:type="dxa"/>
            <w:tcBorders>
              <w:top w:val="single" w:sz="18" w:space="0" w:color="auto"/>
              <w:bottom w:val="double" w:sz="4" w:space="0" w:color="auto"/>
            </w:tcBorders>
            <w:vAlign w:val="center"/>
          </w:tcPr>
          <w:p w:rsidR="0019180C" w:rsidRDefault="0019180C">
            <w:pPr>
              <w:keepNext/>
              <w:suppressAutoHyphens/>
              <w:jc w:val="center"/>
            </w:pPr>
            <w:r>
              <w:t>No</w:t>
            </w:r>
          </w:p>
        </w:tc>
        <w:tc>
          <w:tcPr>
            <w:tcW w:w="1278" w:type="dxa"/>
            <w:tcBorders>
              <w:top w:val="single" w:sz="18" w:space="0" w:color="auto"/>
              <w:bottom w:val="double" w:sz="4" w:space="0" w:color="auto"/>
            </w:tcBorders>
            <w:vAlign w:val="center"/>
          </w:tcPr>
          <w:p w:rsidR="0019180C" w:rsidRDefault="0019180C">
            <w:pPr>
              <w:keepNext/>
              <w:suppressAutoHyphens/>
              <w:jc w:val="center"/>
            </w:pPr>
            <w:r>
              <w:t>No</w:t>
            </w:r>
          </w:p>
        </w:tc>
        <w:tc>
          <w:tcPr>
            <w:tcW w:w="1278" w:type="dxa"/>
            <w:tcBorders>
              <w:top w:val="single" w:sz="18" w:space="0" w:color="auto"/>
              <w:bottom w:val="double" w:sz="4" w:space="0" w:color="auto"/>
              <w:right w:val="single" w:sz="4" w:space="0" w:color="auto"/>
            </w:tcBorders>
            <w:vAlign w:val="center"/>
          </w:tcPr>
          <w:p w:rsidR="0019180C" w:rsidRDefault="0019180C">
            <w:pPr>
              <w:keepNext/>
              <w:suppressAutoHyphens/>
              <w:jc w:val="center"/>
            </w:pPr>
            <w:r>
              <w:t>No</w:t>
            </w:r>
          </w:p>
        </w:tc>
        <w:tc>
          <w:tcPr>
            <w:tcW w:w="1278" w:type="dxa"/>
            <w:tcBorders>
              <w:top w:val="single" w:sz="18" w:space="0" w:color="auto"/>
              <w:left w:val="single" w:sz="4" w:space="0" w:color="auto"/>
              <w:bottom w:val="double" w:sz="4" w:space="0" w:color="auto"/>
              <w:right w:val="double" w:sz="4" w:space="0" w:color="auto"/>
            </w:tcBorders>
            <w:vAlign w:val="center"/>
          </w:tcPr>
          <w:p w:rsidR="0019180C" w:rsidRDefault="0019180C">
            <w:pPr>
              <w:keepNext/>
              <w:suppressAutoHyphens/>
              <w:jc w:val="center"/>
            </w:pPr>
            <w:r>
              <w:t>No</w:t>
            </w:r>
          </w:p>
        </w:tc>
      </w:tr>
    </w:tbl>
    <w:p w:rsidR="0019180C" w:rsidRDefault="0019180C">
      <w:pPr>
        <w:pStyle w:val="BodyTextIndent"/>
        <w:tabs>
          <w:tab w:val="left" w:pos="1890"/>
        </w:tabs>
        <w:ind w:left="1260" w:hanging="450"/>
        <w:rPr>
          <w:b/>
        </w:rPr>
      </w:pPr>
    </w:p>
    <w:p w:rsidR="0019180C" w:rsidRDefault="0019180C">
      <w:pPr>
        <w:pStyle w:val="Heading3"/>
      </w:pPr>
      <w:r>
        <w:t>Quantity of Offsets Required</w:t>
      </w:r>
    </w:p>
    <w:p w:rsidR="0019180C" w:rsidRDefault="0019180C">
      <w:pPr>
        <w:pStyle w:val="BodyTextIndent"/>
        <w:ind w:left="1260"/>
      </w:pPr>
    </w:p>
    <w:p w:rsidR="0019180C" w:rsidRDefault="0019180C">
      <w:pPr>
        <w:pStyle w:val="BodyTextIndent"/>
      </w:pPr>
      <w:r>
        <w:lastRenderedPageBreak/>
        <w:t>As shown in the table above, the SSPE2 is not greater than or equal to the offset threshold levels for any criteria pollutant.  Therefore, offsets will not be required.</w:t>
      </w:r>
    </w:p>
    <w:p w:rsidR="0019180C" w:rsidRDefault="0019180C">
      <w:pPr>
        <w:suppressAutoHyphens/>
        <w:jc w:val="both"/>
        <w:rPr>
          <w:i/>
          <w:iCs/>
          <w:color w:val="FF0000"/>
          <w:spacing w:val="-3"/>
        </w:rPr>
      </w:pPr>
      <w:r>
        <w:rPr>
          <w:i/>
          <w:iCs/>
          <w:color w:val="FF0000"/>
          <w:spacing w:val="-3"/>
        </w:rPr>
        <w:t>OR</w:t>
      </w:r>
    </w:p>
    <w:p w:rsidR="0019180C" w:rsidRDefault="0019180C">
      <w:pPr>
        <w:suppressAutoHyphens/>
        <w:ind w:left="720"/>
        <w:jc w:val="both"/>
        <w:rPr>
          <w:i/>
          <w:iCs/>
          <w:color w:val="FF0000"/>
        </w:rPr>
      </w:pPr>
      <w:r>
        <w:t>As shown in the table above, the SSPE2 meets or exceeds the offset threshold levels.  Therefore, offsets will be required.</w:t>
      </w:r>
      <w:r>
        <w:rPr>
          <w:i/>
          <w:iCs/>
          <w:color w:val="0000FF"/>
        </w:rPr>
        <w:t xml:space="preserve"> </w:t>
      </w:r>
      <w:r>
        <w:rPr>
          <w:i/>
          <w:iCs/>
          <w:color w:val="FF0000"/>
        </w:rPr>
        <w:t>(If this is true, this project is NO LONGER A GEAR. Check with your supervisor before further processing.)</w:t>
      </w:r>
    </w:p>
    <w:p w:rsidR="0019180C" w:rsidRDefault="0019180C">
      <w:pPr>
        <w:suppressAutoHyphens/>
        <w:jc w:val="both"/>
        <w:rPr>
          <w:spacing w:val="-3"/>
        </w:rPr>
      </w:pPr>
    </w:p>
    <w:p w:rsidR="0019180C" w:rsidRDefault="0019180C">
      <w:pPr>
        <w:pStyle w:val="Heading2"/>
      </w:pPr>
      <w:r>
        <w:t>Public Notification</w:t>
      </w:r>
    </w:p>
    <w:p w:rsidR="0019180C" w:rsidRDefault="0019180C">
      <w:pPr>
        <w:suppressAutoHyphens/>
      </w:pPr>
    </w:p>
    <w:p w:rsidR="0019180C" w:rsidRDefault="0019180C">
      <w:pPr>
        <w:pStyle w:val="Heading3"/>
      </w:pPr>
      <w:r>
        <w:t>Applicability</w:t>
      </w:r>
    </w:p>
    <w:p w:rsidR="0019180C" w:rsidRDefault="0019180C">
      <w:pPr>
        <w:suppressAutoHyphens/>
      </w:pPr>
    </w:p>
    <w:p w:rsidR="0019180C" w:rsidRDefault="0019180C">
      <w:pPr>
        <w:tabs>
          <w:tab w:val="left" w:pos="1080"/>
        </w:tabs>
        <w:ind w:left="720"/>
        <w:rPr>
          <w:color w:val="000000"/>
        </w:rPr>
      </w:pPr>
      <w:r>
        <w:rPr>
          <w:color w:val="000000"/>
        </w:rPr>
        <w:t>Public noticing is required for:</w:t>
      </w:r>
    </w:p>
    <w:p w:rsidR="0019180C" w:rsidRDefault="0019180C">
      <w:pPr>
        <w:tabs>
          <w:tab w:val="left" w:pos="1080"/>
        </w:tabs>
        <w:ind w:left="720"/>
        <w:rPr>
          <w:color w:val="000000"/>
        </w:rPr>
      </w:pPr>
    </w:p>
    <w:p w:rsidR="0019180C" w:rsidRDefault="0019180C">
      <w:pPr>
        <w:numPr>
          <w:ilvl w:val="0"/>
          <w:numId w:val="8"/>
        </w:numPr>
        <w:tabs>
          <w:tab w:val="clear" w:pos="1260"/>
        </w:tabs>
        <w:rPr>
          <w:color w:val="000000"/>
        </w:rPr>
      </w:pPr>
      <w:r>
        <w:rPr>
          <w:color w:val="000000"/>
        </w:rPr>
        <w:t>Any new Major Source, which is a new facility that is also a Major Source,</w:t>
      </w:r>
    </w:p>
    <w:p w:rsidR="0019180C" w:rsidRDefault="0019180C">
      <w:pPr>
        <w:numPr>
          <w:ilvl w:val="0"/>
          <w:numId w:val="8"/>
        </w:numPr>
        <w:tabs>
          <w:tab w:val="left" w:pos="810"/>
        </w:tabs>
        <w:rPr>
          <w:color w:val="000000"/>
        </w:rPr>
      </w:pPr>
      <w:r>
        <w:rPr>
          <w:color w:val="000000"/>
        </w:rPr>
        <w:t>Major Modifications,</w:t>
      </w:r>
    </w:p>
    <w:p w:rsidR="0019180C" w:rsidRDefault="0019180C">
      <w:pPr>
        <w:numPr>
          <w:ilvl w:val="0"/>
          <w:numId w:val="8"/>
        </w:numPr>
        <w:tabs>
          <w:tab w:val="clear" w:pos="1260"/>
        </w:tabs>
        <w:rPr>
          <w:color w:val="000000"/>
        </w:rPr>
      </w:pPr>
      <w:r>
        <w:rPr>
          <w:color w:val="000000"/>
        </w:rPr>
        <w:t>Any new emissions unit with a Potential to Emit greater than 100 pounds during any one day for any one pollutant,</w:t>
      </w:r>
    </w:p>
    <w:p w:rsidR="0019180C" w:rsidRDefault="0019180C">
      <w:pPr>
        <w:numPr>
          <w:ilvl w:val="0"/>
          <w:numId w:val="8"/>
        </w:numPr>
        <w:rPr>
          <w:color w:val="000000"/>
        </w:rPr>
      </w:pPr>
      <w:r>
        <w:rPr>
          <w:color w:val="000000"/>
        </w:rPr>
        <w:t>Any project which results in the offset thresholds being surpassed, and/or</w:t>
      </w:r>
    </w:p>
    <w:p w:rsidR="0019180C" w:rsidRDefault="0019180C">
      <w:pPr>
        <w:pStyle w:val="BodyTextIndent2"/>
        <w:numPr>
          <w:ilvl w:val="0"/>
          <w:numId w:val="8"/>
        </w:numPr>
        <w:tabs>
          <w:tab w:val="left" w:pos="1800"/>
        </w:tabs>
        <w:suppressAutoHyphens/>
        <w:rPr>
          <w:snapToGrid/>
        </w:rPr>
      </w:pPr>
      <w:r>
        <w:rPr>
          <w:color w:val="000000"/>
        </w:rPr>
        <w:t>Any project with an SSIPE of greater than 20,000 lb/year for any pollutant.</w:t>
      </w:r>
    </w:p>
    <w:p w:rsidR="0019180C" w:rsidRDefault="0019180C">
      <w:pPr>
        <w:suppressAutoHyphens/>
      </w:pPr>
    </w:p>
    <w:p w:rsidR="0019180C" w:rsidRDefault="0019180C">
      <w:pPr>
        <w:pStyle w:val="Heading4"/>
      </w:pPr>
      <w:r>
        <w:t>New Major Source</w:t>
      </w:r>
    </w:p>
    <w:p w:rsidR="0019180C" w:rsidRDefault="0019180C">
      <w:pPr>
        <w:ind w:left="1440"/>
        <w:rPr>
          <w:color w:val="800000"/>
        </w:rPr>
      </w:pPr>
    </w:p>
    <w:p w:rsidR="0019180C" w:rsidRDefault="0019180C">
      <w:pPr>
        <w:tabs>
          <w:tab w:val="left" w:pos="2610"/>
        </w:tabs>
        <w:autoSpaceDE w:val="0"/>
        <w:autoSpaceDN w:val="0"/>
        <w:adjustRightInd w:val="0"/>
        <w:ind w:left="1080"/>
        <w:rPr>
          <w:i/>
          <w:iCs/>
          <w:color w:val="0000FF"/>
        </w:rPr>
      </w:pPr>
      <w:r>
        <w:rPr>
          <w:i/>
          <w:iCs/>
          <w:color w:val="0000FF"/>
          <w:u w:val="single"/>
        </w:rPr>
        <w:t>Example (a)</w:t>
      </w:r>
      <w:r>
        <w:rPr>
          <w:i/>
          <w:iCs/>
          <w:color w:val="0000FF"/>
        </w:rPr>
        <w:t>:</w:t>
      </w:r>
      <w:r>
        <w:rPr>
          <w:i/>
          <w:iCs/>
          <w:color w:val="0000FF"/>
        </w:rPr>
        <w:tab/>
        <w:t>(For a new facility – non Major Source.)</w:t>
      </w:r>
    </w:p>
    <w:p w:rsidR="0019180C" w:rsidRDefault="0019180C">
      <w:pPr>
        <w:ind w:left="1080"/>
        <w:rPr>
          <w:noProof/>
        </w:rPr>
      </w:pPr>
      <w:r>
        <w:rPr>
          <w:bCs/>
        </w:rPr>
        <w:t xml:space="preserve">New Major Sources are new facilities, which are also Major Sources. </w:t>
      </w:r>
      <w:r>
        <w:t>As shown in Section VII.C.5 above, the SSPE2 is not greater than the Major Source threshold for any criteria pollutant.  Therefore, p</w:t>
      </w:r>
      <w:r>
        <w:rPr>
          <w:noProof/>
        </w:rPr>
        <w:t>ublic noticing is not required for this project for new Major Source purposes.</w:t>
      </w:r>
    </w:p>
    <w:p w:rsidR="0019180C" w:rsidRDefault="0019180C">
      <w:pPr>
        <w:ind w:left="1080"/>
        <w:rPr>
          <w:i/>
          <w:iCs/>
          <w:color w:val="000000"/>
        </w:rPr>
      </w:pPr>
    </w:p>
    <w:p w:rsidR="0019180C" w:rsidRDefault="0019180C">
      <w:pPr>
        <w:tabs>
          <w:tab w:val="left" w:pos="2610"/>
        </w:tabs>
        <w:ind w:left="1080"/>
        <w:rPr>
          <w:i/>
          <w:iCs/>
          <w:color w:val="0000FF"/>
        </w:rPr>
      </w:pPr>
      <w:r>
        <w:rPr>
          <w:i/>
          <w:iCs/>
          <w:color w:val="0000FF"/>
          <w:u w:val="single"/>
        </w:rPr>
        <w:t>Example (c)</w:t>
      </w:r>
      <w:r>
        <w:rPr>
          <w:i/>
          <w:iCs/>
          <w:color w:val="0000FF"/>
        </w:rPr>
        <w:t>:</w:t>
      </w:r>
      <w:r>
        <w:rPr>
          <w:i/>
          <w:iCs/>
          <w:color w:val="0000FF"/>
        </w:rPr>
        <w:tab/>
        <w:t>(For an existing facility.)</w:t>
      </w:r>
    </w:p>
    <w:p w:rsidR="0019180C" w:rsidRDefault="0019180C">
      <w:pPr>
        <w:ind w:left="1080"/>
        <w:rPr>
          <w:color w:val="000000"/>
        </w:rPr>
      </w:pPr>
      <w:r>
        <w:rPr>
          <w:bCs/>
        </w:rPr>
        <w:t>New Major Sources are new facilities, which are also Major Sources.  Since this is not a new facility, public noticing is not required for this project for New Major Source purposes.</w:t>
      </w:r>
    </w:p>
    <w:p w:rsidR="0019180C" w:rsidRDefault="0019180C">
      <w:pPr>
        <w:ind w:left="1440"/>
        <w:rPr>
          <w:bCs/>
          <w:color w:val="000000"/>
        </w:rPr>
      </w:pPr>
    </w:p>
    <w:p w:rsidR="0019180C" w:rsidRDefault="0019180C">
      <w:pPr>
        <w:pStyle w:val="Heading4"/>
      </w:pPr>
      <w:r>
        <w:t>Major Modification</w:t>
      </w:r>
    </w:p>
    <w:p w:rsidR="0019180C" w:rsidRDefault="0019180C">
      <w:pPr>
        <w:ind w:left="1440"/>
        <w:rPr>
          <w:color w:val="000000"/>
        </w:rPr>
      </w:pPr>
    </w:p>
    <w:p w:rsidR="0019180C" w:rsidRDefault="0019180C">
      <w:pPr>
        <w:ind w:left="1080"/>
      </w:pPr>
      <w:r>
        <w:t>As demonstrated in VII.C.7, this project does not constitute a Major Modification; therefore, public noticing for Major Modification purposes is not required.</w:t>
      </w:r>
    </w:p>
    <w:p w:rsidR="0019180C" w:rsidRDefault="0019180C">
      <w:pPr>
        <w:ind w:left="1440"/>
        <w:rPr>
          <w:rFonts w:cs="Arial"/>
          <w:color w:val="000000"/>
          <w:spacing w:val="-3"/>
        </w:rPr>
      </w:pPr>
    </w:p>
    <w:p w:rsidR="0019180C" w:rsidRDefault="0019180C">
      <w:pPr>
        <w:pStyle w:val="Heading4"/>
      </w:pPr>
      <w:r>
        <w:t>PE &gt; 100 lb/day</w:t>
      </w:r>
    </w:p>
    <w:p w:rsidR="0019180C" w:rsidRDefault="0019180C">
      <w:pPr>
        <w:ind w:left="1440"/>
        <w:rPr>
          <w:color w:val="000000"/>
        </w:rPr>
      </w:pPr>
    </w:p>
    <w:p w:rsidR="0019180C" w:rsidRDefault="0019180C">
      <w:pPr>
        <w:tabs>
          <w:tab w:val="left" w:pos="2610"/>
        </w:tabs>
        <w:autoSpaceDE w:val="0"/>
        <w:autoSpaceDN w:val="0"/>
        <w:adjustRightInd w:val="0"/>
        <w:ind w:left="1080"/>
        <w:rPr>
          <w:i/>
          <w:iCs/>
          <w:color w:val="0000FF"/>
        </w:rPr>
      </w:pPr>
      <w:r>
        <w:rPr>
          <w:i/>
          <w:iCs/>
          <w:color w:val="0000FF"/>
          <w:u w:val="single"/>
        </w:rPr>
        <w:t>Example (a)</w:t>
      </w:r>
      <w:r>
        <w:rPr>
          <w:i/>
          <w:iCs/>
          <w:color w:val="0000FF"/>
        </w:rPr>
        <w:t>:</w:t>
      </w:r>
      <w:r>
        <w:rPr>
          <w:i/>
          <w:iCs/>
          <w:color w:val="0000FF"/>
        </w:rPr>
        <w:tab/>
        <w:t>(For a project not including a new emissions unit.)</w:t>
      </w:r>
    </w:p>
    <w:p w:rsidR="0019180C" w:rsidRDefault="0019180C">
      <w:pPr>
        <w:ind w:left="1080"/>
        <w:rPr>
          <w:color w:val="000000"/>
        </w:rPr>
      </w:pPr>
      <w:r>
        <w:t>Applications which include a new emissions unit with a Potential to Emit greater than 100 pounds during any one day for any pollutant will trigger public noticing requirements.  There are no new emissions units associated with this project; therefore public noticing is not required for this project for Potential to Emit Purposes.</w:t>
      </w:r>
    </w:p>
    <w:p w:rsidR="0019180C" w:rsidRDefault="0019180C">
      <w:pPr>
        <w:ind w:left="1080"/>
        <w:rPr>
          <w:color w:val="000000"/>
        </w:rPr>
      </w:pPr>
    </w:p>
    <w:p w:rsidR="0019180C" w:rsidRDefault="0019180C">
      <w:pPr>
        <w:tabs>
          <w:tab w:val="left" w:pos="2610"/>
        </w:tabs>
        <w:autoSpaceDE w:val="0"/>
        <w:autoSpaceDN w:val="0"/>
        <w:adjustRightInd w:val="0"/>
        <w:ind w:left="1080"/>
        <w:rPr>
          <w:i/>
          <w:iCs/>
          <w:color w:val="0000FF"/>
        </w:rPr>
      </w:pPr>
      <w:r>
        <w:rPr>
          <w:i/>
          <w:iCs/>
          <w:color w:val="0000FF"/>
          <w:u w:val="single"/>
        </w:rPr>
        <w:t>Example (b)</w:t>
      </w:r>
      <w:r>
        <w:rPr>
          <w:i/>
          <w:iCs/>
          <w:color w:val="0000FF"/>
        </w:rPr>
        <w:t>:</w:t>
      </w:r>
      <w:r>
        <w:rPr>
          <w:i/>
          <w:iCs/>
          <w:color w:val="0000FF"/>
        </w:rPr>
        <w:tab/>
        <w:t xml:space="preserve">(For a project including a new emissions unit – PE </w:t>
      </w:r>
      <w:r>
        <w:rPr>
          <w:i/>
          <w:iCs/>
          <w:color w:val="0000FF"/>
        </w:rPr>
        <w:sym w:font="Symbol" w:char="F0A3"/>
      </w:r>
      <w:r>
        <w:rPr>
          <w:i/>
          <w:iCs/>
          <w:color w:val="0000FF"/>
        </w:rPr>
        <w:t xml:space="preserve"> 100 lb/day.)</w:t>
      </w:r>
    </w:p>
    <w:p w:rsidR="0019180C" w:rsidRDefault="0019180C">
      <w:pPr>
        <w:ind w:left="1080"/>
        <w:rPr>
          <w:rFonts w:cs="Arial"/>
        </w:rPr>
      </w:pPr>
      <w:r>
        <w:t xml:space="preserve">Applications which include a new emissions unit with a Potential to Emit greater than 100 pounds during any one day for any pollutant will trigger public noticing requirements.  </w:t>
      </w:r>
      <w:r>
        <w:rPr>
          <w:rFonts w:cs="Arial"/>
        </w:rPr>
        <w:t>As seen in Section VII.C.2 above, this project does not include a new emissions unit which has daily emissions greater than 100 lb/day for any pollutant, therefore public noticing for PE &gt; 100 lb/day purposes is not required.</w:t>
      </w:r>
    </w:p>
    <w:p w:rsidR="0019180C" w:rsidRDefault="0019180C">
      <w:pPr>
        <w:ind w:left="1080"/>
        <w:rPr>
          <w:rFonts w:cs="Arial"/>
        </w:rPr>
      </w:pPr>
    </w:p>
    <w:p w:rsidR="0019180C" w:rsidRDefault="0019180C">
      <w:pPr>
        <w:tabs>
          <w:tab w:val="left" w:pos="2610"/>
        </w:tabs>
        <w:autoSpaceDE w:val="0"/>
        <w:autoSpaceDN w:val="0"/>
        <w:adjustRightInd w:val="0"/>
        <w:ind w:left="1080"/>
        <w:rPr>
          <w:i/>
          <w:iCs/>
          <w:color w:val="0000FF"/>
        </w:rPr>
      </w:pPr>
      <w:r>
        <w:rPr>
          <w:i/>
          <w:iCs/>
          <w:color w:val="0000FF"/>
          <w:u w:val="single"/>
        </w:rPr>
        <w:t>Example (c)</w:t>
      </w:r>
      <w:r>
        <w:rPr>
          <w:i/>
          <w:iCs/>
          <w:color w:val="0000FF"/>
        </w:rPr>
        <w:t>:</w:t>
      </w:r>
      <w:r>
        <w:rPr>
          <w:i/>
          <w:iCs/>
          <w:color w:val="0000FF"/>
        </w:rPr>
        <w:tab/>
        <w:t>(For a project including a new emissions unit – PE &gt; 100 lb/day.)</w:t>
      </w:r>
    </w:p>
    <w:p w:rsidR="0019180C" w:rsidRDefault="0019180C">
      <w:pPr>
        <w:ind w:left="1080"/>
        <w:rPr>
          <w:color w:val="000000"/>
        </w:rPr>
      </w:pPr>
      <w:r>
        <w:rPr>
          <w:color w:val="000000"/>
        </w:rPr>
        <w:t>The PE2 for this new unit is compared to the daily PE Public Notice thresholds in the following table:</w:t>
      </w:r>
    </w:p>
    <w:p w:rsidR="0019180C" w:rsidRDefault="0019180C">
      <w:pPr>
        <w:ind w:left="1440"/>
        <w:rPr>
          <w:color w:val="000000"/>
        </w:rPr>
      </w:pPr>
    </w:p>
    <w:tbl>
      <w:tblPr>
        <w:tblW w:w="783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070"/>
        <w:gridCol w:w="2520"/>
        <w:gridCol w:w="2070"/>
      </w:tblGrid>
      <w:tr w:rsidR="0019180C" w:rsidTr="00D645BE">
        <w:trPr>
          <w:cantSplit/>
          <w:trHeight w:val="300"/>
        </w:trPr>
        <w:tc>
          <w:tcPr>
            <w:tcW w:w="7830"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19180C" w:rsidRDefault="0019180C" w:rsidP="00D645BE">
            <w:pPr>
              <w:keepNext/>
              <w:suppressAutoHyphens/>
              <w:jc w:val="center"/>
              <w:rPr>
                <w:b/>
                <w:bCs/>
                <w:color w:val="000000"/>
              </w:rPr>
            </w:pPr>
            <w:r>
              <w:rPr>
                <w:b/>
                <w:bCs/>
                <w:color w:val="000000"/>
              </w:rPr>
              <w:t>PE &gt; 100 lb/day Public Notice Thresholds</w:t>
            </w:r>
          </w:p>
        </w:tc>
      </w:tr>
      <w:tr w:rsidR="0019180C" w:rsidTr="00D645BE">
        <w:trPr>
          <w:cantSplit/>
          <w:trHeight w:val="300"/>
        </w:trPr>
        <w:tc>
          <w:tcPr>
            <w:tcW w:w="1170" w:type="dxa"/>
            <w:tcBorders>
              <w:top w:val="double" w:sz="4" w:space="0" w:color="auto"/>
              <w:left w:val="double" w:sz="4" w:space="0" w:color="auto"/>
              <w:bottom w:val="single" w:sz="12" w:space="0" w:color="auto"/>
              <w:right w:val="single" w:sz="4" w:space="0" w:color="auto"/>
            </w:tcBorders>
            <w:shd w:val="clear" w:color="auto" w:fill="auto"/>
            <w:vAlign w:val="center"/>
          </w:tcPr>
          <w:p w:rsidR="0019180C" w:rsidRDefault="0019180C">
            <w:pPr>
              <w:keepNext/>
              <w:suppressAutoHyphens/>
              <w:jc w:val="both"/>
              <w:rPr>
                <w:color w:val="000000"/>
              </w:rPr>
            </w:pPr>
            <w:r>
              <w:rPr>
                <w:color w:val="000000"/>
              </w:rPr>
              <w:t>Pollutant</w:t>
            </w:r>
          </w:p>
        </w:tc>
        <w:tc>
          <w:tcPr>
            <w:tcW w:w="2070" w:type="dxa"/>
            <w:tcBorders>
              <w:top w:val="double" w:sz="4" w:space="0" w:color="auto"/>
              <w:left w:val="single" w:sz="4" w:space="0" w:color="auto"/>
              <w:bottom w:val="single" w:sz="12" w:space="0" w:color="auto"/>
              <w:right w:val="single" w:sz="4" w:space="0" w:color="auto"/>
            </w:tcBorders>
            <w:shd w:val="clear" w:color="auto" w:fill="auto"/>
            <w:vAlign w:val="center"/>
          </w:tcPr>
          <w:p w:rsidR="0019180C" w:rsidRDefault="0019180C">
            <w:pPr>
              <w:keepNext/>
              <w:suppressAutoHyphens/>
              <w:jc w:val="both"/>
              <w:rPr>
                <w:color w:val="000000"/>
              </w:rPr>
            </w:pPr>
            <w:r>
              <w:rPr>
                <w:color w:val="000000"/>
              </w:rPr>
              <w:t>PE2</w:t>
            </w:r>
          </w:p>
          <w:p w:rsidR="0019180C" w:rsidRDefault="0019180C">
            <w:pPr>
              <w:keepNext/>
              <w:suppressAutoHyphens/>
              <w:jc w:val="both"/>
              <w:rPr>
                <w:color w:val="000000"/>
              </w:rPr>
            </w:pPr>
            <w:r>
              <w:rPr>
                <w:color w:val="000000"/>
              </w:rPr>
              <w:t>(lb/day)</w:t>
            </w:r>
          </w:p>
        </w:tc>
        <w:tc>
          <w:tcPr>
            <w:tcW w:w="2520" w:type="dxa"/>
            <w:tcBorders>
              <w:top w:val="double" w:sz="4" w:space="0" w:color="auto"/>
              <w:left w:val="single" w:sz="4" w:space="0" w:color="auto"/>
              <w:bottom w:val="single" w:sz="12" w:space="0" w:color="auto"/>
              <w:right w:val="single" w:sz="4" w:space="0" w:color="auto"/>
            </w:tcBorders>
            <w:shd w:val="clear" w:color="auto" w:fill="auto"/>
            <w:vAlign w:val="center"/>
          </w:tcPr>
          <w:p w:rsidR="0019180C" w:rsidRDefault="0019180C">
            <w:pPr>
              <w:keepNext/>
              <w:suppressAutoHyphens/>
              <w:jc w:val="both"/>
              <w:rPr>
                <w:color w:val="000000"/>
              </w:rPr>
            </w:pPr>
            <w:r>
              <w:rPr>
                <w:color w:val="000000"/>
              </w:rPr>
              <w:t>Public Notice Threshold</w:t>
            </w:r>
          </w:p>
        </w:tc>
        <w:tc>
          <w:tcPr>
            <w:tcW w:w="2070" w:type="dxa"/>
            <w:tcBorders>
              <w:top w:val="double" w:sz="4" w:space="0" w:color="auto"/>
              <w:left w:val="single" w:sz="4" w:space="0" w:color="auto"/>
              <w:bottom w:val="single" w:sz="12" w:space="0" w:color="auto"/>
              <w:right w:val="double" w:sz="4" w:space="0" w:color="auto"/>
            </w:tcBorders>
            <w:shd w:val="clear" w:color="auto" w:fill="auto"/>
            <w:vAlign w:val="center"/>
          </w:tcPr>
          <w:p w:rsidR="0019180C" w:rsidRDefault="0019180C">
            <w:pPr>
              <w:keepNext/>
              <w:suppressAutoHyphens/>
              <w:jc w:val="both"/>
              <w:rPr>
                <w:color w:val="000000"/>
              </w:rPr>
            </w:pPr>
            <w:r>
              <w:rPr>
                <w:color w:val="000000"/>
              </w:rPr>
              <w:t>Public Notice Triggered?</w:t>
            </w:r>
          </w:p>
        </w:tc>
      </w:tr>
      <w:tr w:rsidR="0019180C">
        <w:tc>
          <w:tcPr>
            <w:tcW w:w="1170" w:type="dxa"/>
            <w:tcBorders>
              <w:top w:val="nil"/>
              <w:left w:val="double" w:sz="4" w:space="0" w:color="auto"/>
              <w:right w:val="single" w:sz="4" w:space="0" w:color="auto"/>
            </w:tcBorders>
            <w:vAlign w:val="center"/>
          </w:tcPr>
          <w:p w:rsidR="0019180C" w:rsidRDefault="0019180C">
            <w:pPr>
              <w:keepNext/>
              <w:suppressAutoHyphens/>
              <w:jc w:val="both"/>
              <w:rPr>
                <w:color w:val="000000"/>
              </w:rPr>
            </w:pPr>
            <w:r>
              <w:rPr>
                <w:color w:val="000000"/>
              </w:rPr>
              <w:t>NO</w:t>
            </w:r>
            <w:r>
              <w:rPr>
                <w:color w:val="000000"/>
                <w:vertAlign w:val="subscript"/>
              </w:rPr>
              <w:t>X</w:t>
            </w:r>
          </w:p>
        </w:tc>
        <w:tc>
          <w:tcPr>
            <w:tcW w:w="2070" w:type="dxa"/>
            <w:tcBorders>
              <w:top w:val="nil"/>
              <w:left w:val="single" w:sz="4" w:space="0" w:color="auto"/>
              <w:right w:val="nil"/>
            </w:tcBorders>
            <w:vAlign w:val="center"/>
          </w:tcPr>
          <w:p w:rsidR="0019180C" w:rsidRDefault="0019180C">
            <w:pPr>
              <w:keepNext/>
              <w:suppressAutoHyphens/>
              <w:jc w:val="both"/>
              <w:rPr>
                <w:color w:val="000000"/>
              </w:rPr>
            </w:pPr>
            <w:r>
              <w:rPr>
                <w:color w:val="000000"/>
              </w:rPr>
              <w:t>100.5</w:t>
            </w:r>
          </w:p>
        </w:tc>
        <w:tc>
          <w:tcPr>
            <w:tcW w:w="2520" w:type="dxa"/>
            <w:tcBorders>
              <w:top w:val="nil"/>
              <w:left w:val="single" w:sz="4" w:space="0" w:color="auto"/>
              <w:right w:val="single" w:sz="4" w:space="0" w:color="auto"/>
            </w:tcBorders>
            <w:vAlign w:val="center"/>
          </w:tcPr>
          <w:p w:rsidR="0019180C" w:rsidRDefault="0019180C">
            <w:pPr>
              <w:keepNext/>
              <w:suppressAutoHyphens/>
              <w:jc w:val="both"/>
              <w:rPr>
                <w:color w:val="000000"/>
              </w:rPr>
            </w:pPr>
            <w:r>
              <w:rPr>
                <w:color w:val="000000"/>
              </w:rPr>
              <w:t>100 lb/day</w:t>
            </w:r>
          </w:p>
        </w:tc>
        <w:tc>
          <w:tcPr>
            <w:tcW w:w="2070" w:type="dxa"/>
            <w:tcBorders>
              <w:top w:val="nil"/>
              <w:left w:val="single" w:sz="4" w:space="0" w:color="auto"/>
              <w:right w:val="double" w:sz="4" w:space="0" w:color="auto"/>
            </w:tcBorders>
            <w:vAlign w:val="center"/>
          </w:tcPr>
          <w:p w:rsidR="0019180C" w:rsidRDefault="0019180C">
            <w:pPr>
              <w:keepNext/>
              <w:suppressAutoHyphens/>
              <w:jc w:val="both"/>
              <w:rPr>
                <w:color w:val="000000"/>
              </w:rPr>
            </w:pPr>
            <w:r>
              <w:rPr>
                <w:color w:val="000000"/>
              </w:rPr>
              <w:t>Yes</w:t>
            </w:r>
          </w:p>
        </w:tc>
      </w:tr>
      <w:tr w:rsidR="0019180C">
        <w:tc>
          <w:tcPr>
            <w:tcW w:w="1170" w:type="dxa"/>
            <w:tcBorders>
              <w:left w:val="double" w:sz="4" w:space="0" w:color="auto"/>
              <w:right w:val="single" w:sz="4" w:space="0" w:color="auto"/>
            </w:tcBorders>
            <w:vAlign w:val="center"/>
          </w:tcPr>
          <w:p w:rsidR="0019180C" w:rsidRDefault="0019180C">
            <w:pPr>
              <w:keepNext/>
              <w:suppressAutoHyphens/>
              <w:jc w:val="both"/>
              <w:rPr>
                <w:color w:val="000000"/>
              </w:rPr>
            </w:pPr>
            <w:r>
              <w:rPr>
                <w:color w:val="000000"/>
              </w:rPr>
              <w:t>SO</w:t>
            </w:r>
            <w:r>
              <w:rPr>
                <w:color w:val="000000"/>
                <w:vertAlign w:val="subscript"/>
              </w:rPr>
              <w:t>X</w:t>
            </w:r>
          </w:p>
        </w:tc>
        <w:tc>
          <w:tcPr>
            <w:tcW w:w="2070" w:type="dxa"/>
            <w:tcBorders>
              <w:left w:val="single" w:sz="4" w:space="0" w:color="auto"/>
              <w:right w:val="nil"/>
            </w:tcBorders>
            <w:vAlign w:val="center"/>
          </w:tcPr>
          <w:p w:rsidR="0019180C" w:rsidRDefault="0019180C">
            <w:pPr>
              <w:keepNext/>
              <w:suppressAutoHyphens/>
              <w:jc w:val="both"/>
              <w:rPr>
                <w:color w:val="000000"/>
              </w:rPr>
            </w:pPr>
            <w:r>
              <w:rPr>
                <w:color w:val="000000"/>
              </w:rPr>
              <w:t>21.2</w:t>
            </w:r>
          </w:p>
        </w:tc>
        <w:tc>
          <w:tcPr>
            <w:tcW w:w="2520" w:type="dxa"/>
            <w:tcBorders>
              <w:left w:val="single" w:sz="4" w:space="0" w:color="auto"/>
              <w:right w:val="single" w:sz="4" w:space="0" w:color="auto"/>
            </w:tcBorders>
            <w:vAlign w:val="center"/>
          </w:tcPr>
          <w:p w:rsidR="0019180C" w:rsidRDefault="0019180C">
            <w:pPr>
              <w:keepNext/>
              <w:suppressAutoHyphens/>
              <w:jc w:val="both"/>
              <w:rPr>
                <w:color w:val="000000"/>
              </w:rPr>
            </w:pPr>
            <w:r>
              <w:rPr>
                <w:color w:val="000000"/>
              </w:rPr>
              <w:t>100 lb/day</w:t>
            </w:r>
          </w:p>
        </w:tc>
        <w:tc>
          <w:tcPr>
            <w:tcW w:w="2070" w:type="dxa"/>
            <w:tcBorders>
              <w:left w:val="single" w:sz="4" w:space="0" w:color="auto"/>
              <w:right w:val="double" w:sz="4" w:space="0" w:color="auto"/>
            </w:tcBorders>
            <w:vAlign w:val="center"/>
          </w:tcPr>
          <w:p w:rsidR="0019180C" w:rsidRDefault="0019180C">
            <w:pPr>
              <w:keepNext/>
              <w:suppressAutoHyphens/>
              <w:jc w:val="both"/>
              <w:rPr>
                <w:color w:val="000000"/>
              </w:rPr>
            </w:pPr>
            <w:r>
              <w:rPr>
                <w:color w:val="000000"/>
              </w:rPr>
              <w:t>No</w:t>
            </w:r>
          </w:p>
        </w:tc>
      </w:tr>
      <w:tr w:rsidR="0019180C">
        <w:tc>
          <w:tcPr>
            <w:tcW w:w="1170" w:type="dxa"/>
            <w:tcBorders>
              <w:left w:val="double" w:sz="4" w:space="0" w:color="auto"/>
              <w:right w:val="single" w:sz="4" w:space="0" w:color="auto"/>
            </w:tcBorders>
            <w:vAlign w:val="center"/>
          </w:tcPr>
          <w:p w:rsidR="0019180C" w:rsidRDefault="0019180C">
            <w:pPr>
              <w:keepNext/>
              <w:suppressAutoHyphens/>
              <w:jc w:val="both"/>
              <w:rPr>
                <w:color w:val="000000"/>
              </w:rPr>
            </w:pPr>
            <w:r>
              <w:rPr>
                <w:color w:val="000000"/>
              </w:rPr>
              <w:t>PM</w:t>
            </w:r>
            <w:r>
              <w:rPr>
                <w:color w:val="000000"/>
                <w:vertAlign w:val="subscript"/>
              </w:rPr>
              <w:t>10</w:t>
            </w:r>
          </w:p>
        </w:tc>
        <w:tc>
          <w:tcPr>
            <w:tcW w:w="2070" w:type="dxa"/>
            <w:tcBorders>
              <w:left w:val="single" w:sz="4" w:space="0" w:color="auto"/>
              <w:right w:val="nil"/>
            </w:tcBorders>
            <w:vAlign w:val="center"/>
          </w:tcPr>
          <w:p w:rsidR="0019180C" w:rsidRDefault="0019180C">
            <w:pPr>
              <w:keepNext/>
              <w:suppressAutoHyphens/>
              <w:jc w:val="both"/>
              <w:rPr>
                <w:color w:val="000000"/>
              </w:rPr>
            </w:pPr>
            <w:r>
              <w:rPr>
                <w:color w:val="000000"/>
              </w:rPr>
              <w:t>25.6</w:t>
            </w:r>
          </w:p>
        </w:tc>
        <w:tc>
          <w:tcPr>
            <w:tcW w:w="2520" w:type="dxa"/>
            <w:tcBorders>
              <w:left w:val="single" w:sz="4" w:space="0" w:color="auto"/>
              <w:right w:val="single" w:sz="4" w:space="0" w:color="auto"/>
            </w:tcBorders>
            <w:vAlign w:val="center"/>
          </w:tcPr>
          <w:p w:rsidR="0019180C" w:rsidRDefault="0019180C">
            <w:pPr>
              <w:keepNext/>
              <w:suppressAutoHyphens/>
              <w:jc w:val="both"/>
              <w:rPr>
                <w:color w:val="000000"/>
              </w:rPr>
            </w:pPr>
            <w:r>
              <w:rPr>
                <w:color w:val="000000"/>
              </w:rPr>
              <w:t>100 lb/day</w:t>
            </w:r>
          </w:p>
        </w:tc>
        <w:tc>
          <w:tcPr>
            <w:tcW w:w="2070" w:type="dxa"/>
            <w:tcBorders>
              <w:left w:val="single" w:sz="4" w:space="0" w:color="auto"/>
              <w:right w:val="double" w:sz="4" w:space="0" w:color="auto"/>
            </w:tcBorders>
            <w:vAlign w:val="center"/>
          </w:tcPr>
          <w:p w:rsidR="0019180C" w:rsidRDefault="0019180C">
            <w:pPr>
              <w:keepNext/>
              <w:suppressAutoHyphens/>
              <w:jc w:val="both"/>
              <w:rPr>
                <w:color w:val="000000"/>
              </w:rPr>
            </w:pPr>
            <w:r>
              <w:rPr>
                <w:color w:val="000000"/>
              </w:rPr>
              <w:t>No</w:t>
            </w:r>
          </w:p>
        </w:tc>
      </w:tr>
      <w:tr w:rsidR="0019180C">
        <w:tc>
          <w:tcPr>
            <w:tcW w:w="1170" w:type="dxa"/>
            <w:tcBorders>
              <w:left w:val="double" w:sz="4" w:space="0" w:color="auto"/>
              <w:right w:val="single" w:sz="4" w:space="0" w:color="auto"/>
            </w:tcBorders>
            <w:vAlign w:val="center"/>
          </w:tcPr>
          <w:p w:rsidR="0019180C" w:rsidRDefault="0019180C">
            <w:pPr>
              <w:keepNext/>
              <w:suppressAutoHyphens/>
              <w:jc w:val="both"/>
              <w:rPr>
                <w:color w:val="000000"/>
              </w:rPr>
            </w:pPr>
            <w:r>
              <w:rPr>
                <w:color w:val="000000"/>
              </w:rPr>
              <w:t>CO</w:t>
            </w:r>
          </w:p>
        </w:tc>
        <w:tc>
          <w:tcPr>
            <w:tcW w:w="2070" w:type="dxa"/>
            <w:tcBorders>
              <w:left w:val="single" w:sz="4" w:space="0" w:color="auto"/>
              <w:right w:val="nil"/>
            </w:tcBorders>
            <w:vAlign w:val="center"/>
          </w:tcPr>
          <w:p w:rsidR="0019180C" w:rsidRDefault="0019180C">
            <w:pPr>
              <w:keepNext/>
              <w:suppressAutoHyphens/>
              <w:jc w:val="both"/>
              <w:rPr>
                <w:color w:val="000000"/>
              </w:rPr>
            </w:pPr>
            <w:r>
              <w:rPr>
                <w:color w:val="000000"/>
              </w:rPr>
              <w:t>124.7</w:t>
            </w:r>
          </w:p>
        </w:tc>
        <w:tc>
          <w:tcPr>
            <w:tcW w:w="2520" w:type="dxa"/>
            <w:tcBorders>
              <w:left w:val="single" w:sz="4" w:space="0" w:color="auto"/>
              <w:right w:val="single" w:sz="4" w:space="0" w:color="auto"/>
            </w:tcBorders>
            <w:vAlign w:val="center"/>
          </w:tcPr>
          <w:p w:rsidR="0019180C" w:rsidRDefault="0019180C">
            <w:pPr>
              <w:keepNext/>
              <w:suppressAutoHyphens/>
              <w:jc w:val="both"/>
              <w:rPr>
                <w:color w:val="000000"/>
              </w:rPr>
            </w:pPr>
            <w:r>
              <w:rPr>
                <w:color w:val="000000"/>
              </w:rPr>
              <w:t>100 lb/day</w:t>
            </w:r>
          </w:p>
        </w:tc>
        <w:tc>
          <w:tcPr>
            <w:tcW w:w="2070" w:type="dxa"/>
            <w:tcBorders>
              <w:left w:val="single" w:sz="4" w:space="0" w:color="auto"/>
              <w:right w:val="double" w:sz="4" w:space="0" w:color="auto"/>
            </w:tcBorders>
            <w:vAlign w:val="center"/>
          </w:tcPr>
          <w:p w:rsidR="0019180C" w:rsidRDefault="0019180C">
            <w:pPr>
              <w:keepNext/>
              <w:suppressAutoHyphens/>
              <w:jc w:val="both"/>
              <w:rPr>
                <w:color w:val="000000"/>
              </w:rPr>
            </w:pPr>
            <w:r>
              <w:rPr>
                <w:color w:val="000000"/>
              </w:rPr>
              <w:t>Yes</w:t>
            </w:r>
          </w:p>
        </w:tc>
      </w:tr>
      <w:tr w:rsidR="0019180C">
        <w:trPr>
          <w:trHeight w:val="70"/>
        </w:trPr>
        <w:tc>
          <w:tcPr>
            <w:tcW w:w="1170" w:type="dxa"/>
            <w:tcBorders>
              <w:left w:val="double" w:sz="4" w:space="0" w:color="auto"/>
              <w:bottom w:val="double" w:sz="4" w:space="0" w:color="auto"/>
              <w:right w:val="single" w:sz="4" w:space="0" w:color="auto"/>
            </w:tcBorders>
            <w:vAlign w:val="center"/>
          </w:tcPr>
          <w:p w:rsidR="0019180C" w:rsidRDefault="0019180C">
            <w:pPr>
              <w:keepNext/>
              <w:suppressAutoHyphens/>
              <w:jc w:val="both"/>
              <w:rPr>
                <w:color w:val="000000"/>
              </w:rPr>
            </w:pPr>
            <w:r>
              <w:rPr>
                <w:color w:val="000000"/>
              </w:rPr>
              <w:t>VOC</w:t>
            </w:r>
          </w:p>
        </w:tc>
        <w:tc>
          <w:tcPr>
            <w:tcW w:w="2070" w:type="dxa"/>
            <w:tcBorders>
              <w:left w:val="single" w:sz="4" w:space="0" w:color="auto"/>
              <w:bottom w:val="double" w:sz="4" w:space="0" w:color="auto"/>
              <w:right w:val="nil"/>
            </w:tcBorders>
            <w:vAlign w:val="center"/>
          </w:tcPr>
          <w:p w:rsidR="0019180C" w:rsidRDefault="0019180C">
            <w:pPr>
              <w:keepNext/>
              <w:suppressAutoHyphens/>
              <w:jc w:val="both"/>
              <w:rPr>
                <w:color w:val="000000"/>
              </w:rPr>
            </w:pPr>
            <w:r>
              <w:rPr>
                <w:color w:val="000000"/>
              </w:rPr>
              <w:t>48.9</w:t>
            </w:r>
          </w:p>
        </w:tc>
        <w:tc>
          <w:tcPr>
            <w:tcW w:w="2520" w:type="dxa"/>
            <w:tcBorders>
              <w:left w:val="single" w:sz="4" w:space="0" w:color="auto"/>
              <w:bottom w:val="double" w:sz="4" w:space="0" w:color="auto"/>
              <w:right w:val="single" w:sz="4" w:space="0" w:color="auto"/>
            </w:tcBorders>
            <w:vAlign w:val="center"/>
          </w:tcPr>
          <w:p w:rsidR="0019180C" w:rsidRDefault="0019180C">
            <w:pPr>
              <w:keepNext/>
              <w:suppressAutoHyphens/>
              <w:jc w:val="both"/>
              <w:rPr>
                <w:color w:val="000000"/>
              </w:rPr>
            </w:pPr>
            <w:r>
              <w:rPr>
                <w:color w:val="000000"/>
              </w:rPr>
              <w:t>100 lb/day</w:t>
            </w:r>
          </w:p>
        </w:tc>
        <w:tc>
          <w:tcPr>
            <w:tcW w:w="2070" w:type="dxa"/>
            <w:tcBorders>
              <w:left w:val="single" w:sz="4" w:space="0" w:color="auto"/>
              <w:bottom w:val="double" w:sz="4" w:space="0" w:color="auto"/>
              <w:right w:val="double" w:sz="4" w:space="0" w:color="auto"/>
            </w:tcBorders>
            <w:vAlign w:val="center"/>
          </w:tcPr>
          <w:p w:rsidR="0019180C" w:rsidRDefault="0019180C">
            <w:pPr>
              <w:keepNext/>
              <w:suppressAutoHyphens/>
              <w:jc w:val="both"/>
              <w:rPr>
                <w:color w:val="000000"/>
              </w:rPr>
            </w:pPr>
            <w:r>
              <w:rPr>
                <w:color w:val="000000"/>
              </w:rPr>
              <w:t>No</w:t>
            </w:r>
          </w:p>
        </w:tc>
      </w:tr>
    </w:tbl>
    <w:p w:rsidR="0019180C" w:rsidRDefault="0019180C">
      <w:pPr>
        <w:ind w:left="1440"/>
        <w:rPr>
          <w:color w:val="000000"/>
        </w:rPr>
      </w:pPr>
    </w:p>
    <w:p w:rsidR="0019180C" w:rsidRDefault="0019180C">
      <w:pPr>
        <w:ind w:left="1080"/>
        <w:rPr>
          <w:color w:val="000000"/>
        </w:rPr>
      </w:pPr>
      <w:r>
        <w:rPr>
          <w:color w:val="000000"/>
        </w:rPr>
        <w:t xml:space="preserve">Therefore, public noticing for </w:t>
      </w:r>
      <w:r>
        <w:rPr>
          <w:rFonts w:cs="Arial"/>
        </w:rPr>
        <w:t xml:space="preserve">PE &gt; 100 lb/day </w:t>
      </w:r>
      <w:r>
        <w:rPr>
          <w:color w:val="000000"/>
        </w:rPr>
        <w:t>purposes is required.</w:t>
      </w:r>
    </w:p>
    <w:p w:rsidR="0019180C" w:rsidRDefault="0019180C">
      <w:pPr>
        <w:ind w:left="1440"/>
        <w:rPr>
          <w:bCs/>
          <w:color w:val="000000"/>
        </w:rPr>
      </w:pPr>
    </w:p>
    <w:p w:rsidR="0019180C" w:rsidRDefault="0019180C">
      <w:pPr>
        <w:pStyle w:val="Heading4"/>
      </w:pPr>
      <w:r>
        <w:t>Offset Threshold</w:t>
      </w:r>
    </w:p>
    <w:p w:rsidR="0019180C" w:rsidRDefault="0019180C">
      <w:pPr>
        <w:tabs>
          <w:tab w:val="left" w:pos="2610"/>
        </w:tabs>
        <w:autoSpaceDE w:val="0"/>
        <w:autoSpaceDN w:val="0"/>
        <w:adjustRightInd w:val="0"/>
        <w:ind w:left="1440"/>
        <w:rPr>
          <w:i/>
          <w:iCs/>
          <w:color w:val="0000FF"/>
          <w:u w:val="single"/>
        </w:rPr>
      </w:pPr>
    </w:p>
    <w:p w:rsidR="0019180C" w:rsidRDefault="0019180C">
      <w:pPr>
        <w:tabs>
          <w:tab w:val="left" w:pos="2610"/>
        </w:tabs>
        <w:autoSpaceDE w:val="0"/>
        <w:autoSpaceDN w:val="0"/>
        <w:adjustRightInd w:val="0"/>
        <w:ind w:left="1080"/>
        <w:rPr>
          <w:i/>
          <w:iCs/>
          <w:color w:val="0000FF"/>
        </w:rPr>
      </w:pPr>
      <w:r>
        <w:rPr>
          <w:i/>
          <w:iCs/>
          <w:color w:val="0000FF"/>
          <w:u w:val="single"/>
        </w:rPr>
        <w:t>Example (a)</w:t>
      </w:r>
      <w:r>
        <w:rPr>
          <w:i/>
          <w:iCs/>
          <w:color w:val="0000FF"/>
        </w:rPr>
        <w:t>:</w:t>
      </w:r>
      <w:r>
        <w:rPr>
          <w:i/>
          <w:iCs/>
          <w:color w:val="0000FF"/>
        </w:rPr>
        <w:tab/>
        <w:t>(For a project not surpassing the offset threshold.)</w:t>
      </w:r>
    </w:p>
    <w:p w:rsidR="0019180C" w:rsidRDefault="0019180C">
      <w:pPr>
        <w:tabs>
          <w:tab w:val="left" w:pos="2610"/>
        </w:tabs>
        <w:autoSpaceDE w:val="0"/>
        <w:autoSpaceDN w:val="0"/>
        <w:adjustRightInd w:val="0"/>
        <w:ind w:left="1080"/>
        <w:rPr>
          <w:i/>
          <w:iCs/>
          <w:color w:val="0000FF"/>
        </w:rPr>
      </w:pPr>
    </w:p>
    <w:p w:rsidR="0019180C" w:rsidRDefault="0019180C">
      <w:pPr>
        <w:pStyle w:val="BodyTextIndent3"/>
        <w:ind w:left="1080"/>
      </w:pPr>
      <w:r>
        <w:t>The following table compares the SSPE1 with the SSPE2 in order to determine if any offset thresholds have been surpassed with this project.</w:t>
      </w:r>
    </w:p>
    <w:p w:rsidR="0019180C" w:rsidRDefault="0019180C">
      <w:pPr>
        <w:ind w:left="1440"/>
      </w:pPr>
    </w:p>
    <w:tbl>
      <w:tblPr>
        <w:tblW w:w="8820" w:type="dxa"/>
        <w:tblInd w:w="154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70"/>
        <w:gridCol w:w="1980"/>
        <w:gridCol w:w="1980"/>
        <w:gridCol w:w="1980"/>
        <w:gridCol w:w="1710"/>
      </w:tblGrid>
      <w:tr w:rsidR="0019180C" w:rsidTr="005722FE">
        <w:trPr>
          <w:cantSplit/>
          <w:trHeight w:val="300"/>
        </w:trPr>
        <w:tc>
          <w:tcPr>
            <w:tcW w:w="8820"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19180C" w:rsidRDefault="0019180C">
            <w:pPr>
              <w:keepNext/>
              <w:jc w:val="center"/>
              <w:rPr>
                <w:b/>
                <w:bCs/>
              </w:rPr>
            </w:pPr>
            <w:r>
              <w:rPr>
                <w:rFonts w:cs="Arial"/>
                <w:b/>
                <w:bCs/>
              </w:rPr>
              <w:t>Offset Threshold</w:t>
            </w:r>
          </w:p>
        </w:tc>
      </w:tr>
      <w:tr w:rsidR="0019180C" w:rsidTr="005722FE">
        <w:trPr>
          <w:trHeight w:val="300"/>
        </w:trPr>
        <w:tc>
          <w:tcPr>
            <w:tcW w:w="1170" w:type="dxa"/>
            <w:tcBorders>
              <w:top w:val="double" w:sz="4" w:space="0" w:color="auto"/>
              <w:left w:val="double" w:sz="4" w:space="0" w:color="auto"/>
              <w:bottom w:val="single" w:sz="12" w:space="0" w:color="auto"/>
              <w:right w:val="single" w:sz="4" w:space="0" w:color="auto"/>
            </w:tcBorders>
            <w:shd w:val="clear" w:color="auto" w:fill="auto"/>
            <w:vAlign w:val="center"/>
          </w:tcPr>
          <w:p w:rsidR="0019180C" w:rsidRDefault="0019180C">
            <w:pPr>
              <w:keepNext/>
              <w:jc w:val="center"/>
            </w:pPr>
            <w:r>
              <w:rPr>
                <w:rFonts w:cs="Arial"/>
              </w:rPr>
              <w:t>Pollutant</w:t>
            </w:r>
          </w:p>
        </w:tc>
        <w:tc>
          <w:tcPr>
            <w:tcW w:w="1980" w:type="dxa"/>
            <w:tcBorders>
              <w:top w:val="double" w:sz="4" w:space="0" w:color="auto"/>
              <w:left w:val="single" w:sz="4" w:space="0" w:color="auto"/>
              <w:bottom w:val="single" w:sz="12" w:space="0" w:color="auto"/>
              <w:right w:val="single" w:sz="4" w:space="0" w:color="auto"/>
            </w:tcBorders>
            <w:shd w:val="clear" w:color="auto" w:fill="auto"/>
            <w:vAlign w:val="center"/>
          </w:tcPr>
          <w:p w:rsidR="0019180C" w:rsidRDefault="0019180C">
            <w:pPr>
              <w:keepNext/>
              <w:jc w:val="center"/>
            </w:pPr>
            <w:r>
              <w:t xml:space="preserve">SSPE1 </w:t>
            </w:r>
          </w:p>
          <w:p w:rsidR="0019180C" w:rsidRDefault="0019180C">
            <w:pPr>
              <w:keepNext/>
              <w:jc w:val="center"/>
              <w:rPr>
                <w:rFonts w:cs="Arial"/>
                <w:szCs w:val="24"/>
              </w:rPr>
            </w:pPr>
            <w:r>
              <w:t>(lb/year)</w:t>
            </w:r>
          </w:p>
        </w:tc>
        <w:tc>
          <w:tcPr>
            <w:tcW w:w="1980" w:type="dxa"/>
            <w:tcBorders>
              <w:top w:val="double" w:sz="4" w:space="0" w:color="auto"/>
              <w:left w:val="single" w:sz="4" w:space="0" w:color="auto"/>
              <w:bottom w:val="single" w:sz="12" w:space="0" w:color="auto"/>
              <w:right w:val="single" w:sz="4" w:space="0" w:color="auto"/>
            </w:tcBorders>
            <w:shd w:val="clear" w:color="auto" w:fill="auto"/>
            <w:vAlign w:val="center"/>
          </w:tcPr>
          <w:p w:rsidR="0019180C" w:rsidRDefault="0019180C">
            <w:pPr>
              <w:keepNext/>
              <w:jc w:val="center"/>
            </w:pPr>
            <w:r>
              <w:t>SSPE2</w:t>
            </w:r>
          </w:p>
          <w:p w:rsidR="0019180C" w:rsidRDefault="0019180C">
            <w:pPr>
              <w:keepNext/>
              <w:jc w:val="center"/>
            </w:pPr>
            <w:r>
              <w:t>(lb/year)</w:t>
            </w:r>
          </w:p>
        </w:tc>
        <w:tc>
          <w:tcPr>
            <w:tcW w:w="1980" w:type="dxa"/>
            <w:tcBorders>
              <w:top w:val="double" w:sz="4" w:space="0" w:color="auto"/>
              <w:left w:val="single" w:sz="4" w:space="0" w:color="auto"/>
              <w:bottom w:val="single" w:sz="12" w:space="0" w:color="auto"/>
              <w:right w:val="single" w:sz="4" w:space="0" w:color="auto"/>
            </w:tcBorders>
            <w:shd w:val="clear" w:color="auto" w:fill="auto"/>
            <w:vAlign w:val="center"/>
          </w:tcPr>
          <w:p w:rsidR="0019180C" w:rsidRDefault="0019180C">
            <w:pPr>
              <w:keepNext/>
              <w:jc w:val="center"/>
            </w:pPr>
            <w:r>
              <w:rPr>
                <w:rFonts w:cs="Arial"/>
              </w:rPr>
              <w:t>Offset</w:t>
            </w:r>
          </w:p>
          <w:p w:rsidR="0019180C" w:rsidRDefault="0019180C">
            <w:pPr>
              <w:keepNext/>
              <w:jc w:val="center"/>
            </w:pPr>
            <w:r>
              <w:rPr>
                <w:rFonts w:cs="Arial"/>
              </w:rPr>
              <w:t>Threshold</w:t>
            </w:r>
          </w:p>
        </w:tc>
        <w:tc>
          <w:tcPr>
            <w:tcW w:w="1710" w:type="dxa"/>
            <w:tcBorders>
              <w:top w:val="double" w:sz="4" w:space="0" w:color="auto"/>
              <w:left w:val="single" w:sz="4" w:space="0" w:color="auto"/>
              <w:bottom w:val="single" w:sz="12" w:space="0" w:color="auto"/>
              <w:right w:val="double" w:sz="4" w:space="0" w:color="auto"/>
            </w:tcBorders>
            <w:shd w:val="clear" w:color="auto" w:fill="auto"/>
            <w:vAlign w:val="center"/>
          </w:tcPr>
          <w:p w:rsidR="0019180C" w:rsidRDefault="0019180C">
            <w:pPr>
              <w:keepNext/>
              <w:jc w:val="center"/>
            </w:pPr>
            <w:r>
              <w:rPr>
                <w:rFonts w:cs="Arial"/>
              </w:rPr>
              <w:t>Public Notice Required?</w:t>
            </w:r>
          </w:p>
        </w:tc>
      </w:tr>
      <w:tr w:rsidR="0019180C">
        <w:trPr>
          <w:trHeight w:val="300"/>
        </w:trPr>
        <w:tc>
          <w:tcPr>
            <w:tcW w:w="1170" w:type="dxa"/>
            <w:tcBorders>
              <w:top w:val="single" w:sz="12" w:space="0" w:color="auto"/>
              <w:left w:val="double" w:sz="4" w:space="0" w:color="auto"/>
              <w:bottom w:val="single" w:sz="4" w:space="0" w:color="auto"/>
              <w:right w:val="single" w:sz="4" w:space="0" w:color="auto"/>
            </w:tcBorders>
            <w:vAlign w:val="center"/>
          </w:tcPr>
          <w:p w:rsidR="0019180C" w:rsidRDefault="0019180C">
            <w:pPr>
              <w:keepNext/>
              <w:jc w:val="center"/>
            </w:pPr>
            <w:r>
              <w:t>NO</w:t>
            </w:r>
            <w:r>
              <w:rPr>
                <w:vertAlign w:val="subscript"/>
              </w:rPr>
              <w:t>X</w:t>
            </w:r>
          </w:p>
        </w:tc>
        <w:tc>
          <w:tcPr>
            <w:tcW w:w="1980" w:type="dxa"/>
            <w:tcBorders>
              <w:top w:val="single" w:sz="12"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0</w:t>
            </w:r>
          </w:p>
        </w:tc>
        <w:tc>
          <w:tcPr>
            <w:tcW w:w="1980" w:type="dxa"/>
            <w:tcBorders>
              <w:top w:val="single" w:sz="12"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0</w:t>
            </w:r>
          </w:p>
        </w:tc>
        <w:tc>
          <w:tcPr>
            <w:tcW w:w="1980" w:type="dxa"/>
            <w:tcBorders>
              <w:top w:val="single" w:sz="12"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20,000 lb/year</w:t>
            </w:r>
          </w:p>
        </w:tc>
        <w:tc>
          <w:tcPr>
            <w:tcW w:w="1710" w:type="dxa"/>
            <w:tcBorders>
              <w:top w:val="single" w:sz="12" w:space="0" w:color="auto"/>
              <w:left w:val="single" w:sz="4" w:space="0" w:color="auto"/>
              <w:bottom w:val="single" w:sz="4" w:space="0" w:color="auto"/>
              <w:right w:val="double" w:sz="4" w:space="0" w:color="auto"/>
            </w:tcBorders>
            <w:vAlign w:val="center"/>
          </w:tcPr>
          <w:p w:rsidR="0019180C" w:rsidRDefault="0019180C">
            <w:pPr>
              <w:keepNext/>
              <w:jc w:val="center"/>
              <w:rPr>
                <w:rFonts w:cs="Arial"/>
              </w:rPr>
            </w:pPr>
            <w:r>
              <w:rPr>
                <w:rFonts w:cs="Arial"/>
              </w:rPr>
              <w:t>No</w:t>
            </w:r>
          </w:p>
        </w:tc>
      </w:tr>
      <w:tr w:rsidR="0019180C">
        <w:trPr>
          <w:trHeight w:val="300"/>
        </w:trPr>
        <w:tc>
          <w:tcPr>
            <w:tcW w:w="1170" w:type="dxa"/>
            <w:tcBorders>
              <w:top w:val="single" w:sz="4" w:space="0" w:color="auto"/>
              <w:left w:val="double" w:sz="4" w:space="0" w:color="auto"/>
              <w:bottom w:val="single" w:sz="4" w:space="0" w:color="auto"/>
              <w:right w:val="single" w:sz="4" w:space="0" w:color="auto"/>
            </w:tcBorders>
            <w:vAlign w:val="center"/>
          </w:tcPr>
          <w:p w:rsidR="0019180C" w:rsidRDefault="0019180C">
            <w:pPr>
              <w:keepNext/>
              <w:jc w:val="center"/>
            </w:pPr>
            <w:r>
              <w:t>SO</w:t>
            </w:r>
            <w:r>
              <w:rPr>
                <w:vertAlign w:val="subscript"/>
              </w:rPr>
              <w:t>X</w:t>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0</w:t>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0</w:t>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54,750 lb/year</w:t>
            </w:r>
          </w:p>
        </w:tc>
        <w:tc>
          <w:tcPr>
            <w:tcW w:w="1710" w:type="dxa"/>
            <w:tcBorders>
              <w:top w:val="single" w:sz="4" w:space="0" w:color="auto"/>
              <w:left w:val="single" w:sz="4" w:space="0" w:color="auto"/>
              <w:bottom w:val="single" w:sz="4" w:space="0" w:color="auto"/>
              <w:right w:val="double" w:sz="4" w:space="0" w:color="auto"/>
            </w:tcBorders>
            <w:vAlign w:val="center"/>
          </w:tcPr>
          <w:p w:rsidR="0019180C" w:rsidRDefault="0019180C">
            <w:pPr>
              <w:keepNext/>
              <w:jc w:val="center"/>
              <w:rPr>
                <w:rFonts w:cs="Arial"/>
              </w:rPr>
            </w:pPr>
            <w:r>
              <w:rPr>
                <w:rFonts w:cs="Arial"/>
              </w:rPr>
              <w:t>No</w:t>
            </w:r>
          </w:p>
        </w:tc>
      </w:tr>
      <w:tr w:rsidR="0019180C">
        <w:trPr>
          <w:trHeight w:val="300"/>
        </w:trPr>
        <w:tc>
          <w:tcPr>
            <w:tcW w:w="1170" w:type="dxa"/>
            <w:tcBorders>
              <w:top w:val="single" w:sz="4" w:space="0" w:color="auto"/>
              <w:left w:val="double" w:sz="4" w:space="0" w:color="auto"/>
              <w:bottom w:val="single" w:sz="4" w:space="0" w:color="auto"/>
              <w:right w:val="single" w:sz="4" w:space="0" w:color="auto"/>
            </w:tcBorders>
            <w:vAlign w:val="center"/>
          </w:tcPr>
          <w:p w:rsidR="0019180C" w:rsidRDefault="0019180C">
            <w:pPr>
              <w:keepNext/>
              <w:jc w:val="center"/>
            </w:pPr>
            <w:r>
              <w:t>PM</w:t>
            </w:r>
            <w:r>
              <w:rPr>
                <w:vertAlign w:val="subscript"/>
              </w:rPr>
              <w:t>10</w:t>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fldChar w:fldCharType="begin"/>
            </w:r>
            <w:r>
              <w:rPr>
                <w:rFonts w:cs="Arial"/>
              </w:rPr>
              <w:instrText xml:space="preserve"> =SUM(ABOVE) \# "#,##0" </w:instrText>
            </w:r>
            <w:r>
              <w:rPr>
                <w:rFonts w:cs="Arial"/>
              </w:rPr>
              <w:fldChar w:fldCharType="separate"/>
            </w:r>
            <w:r>
              <w:rPr>
                <w:rFonts w:cs="Arial"/>
                <w:noProof/>
              </w:rPr>
              <w:t>17,471</w:t>
            </w:r>
            <w:r>
              <w:rPr>
                <w:rFonts w:cs="Arial"/>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fldChar w:fldCharType="begin"/>
            </w:r>
            <w:r>
              <w:rPr>
                <w:rFonts w:cs="Arial"/>
              </w:rPr>
              <w:instrText xml:space="preserve"> =SUM(ABOVE) \# "#,##0" </w:instrText>
            </w:r>
            <w:r>
              <w:rPr>
                <w:rFonts w:cs="Arial"/>
              </w:rPr>
              <w:fldChar w:fldCharType="separate"/>
            </w:r>
            <w:r>
              <w:rPr>
                <w:rFonts w:cs="Arial"/>
                <w:noProof/>
              </w:rPr>
              <w:t>24,399</w:t>
            </w:r>
            <w:r>
              <w:rPr>
                <w:rFonts w:cs="Arial"/>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29,200 lb/year</w:t>
            </w:r>
          </w:p>
        </w:tc>
        <w:tc>
          <w:tcPr>
            <w:tcW w:w="1710" w:type="dxa"/>
            <w:tcBorders>
              <w:top w:val="single" w:sz="4" w:space="0" w:color="auto"/>
              <w:left w:val="single" w:sz="4" w:space="0" w:color="auto"/>
              <w:bottom w:val="single" w:sz="4" w:space="0" w:color="auto"/>
              <w:right w:val="double" w:sz="4" w:space="0" w:color="auto"/>
            </w:tcBorders>
            <w:vAlign w:val="center"/>
          </w:tcPr>
          <w:p w:rsidR="0019180C" w:rsidRDefault="0019180C">
            <w:pPr>
              <w:keepNext/>
              <w:jc w:val="center"/>
              <w:rPr>
                <w:rFonts w:cs="Arial"/>
              </w:rPr>
            </w:pPr>
            <w:r>
              <w:rPr>
                <w:rFonts w:cs="Arial"/>
              </w:rPr>
              <w:t>No</w:t>
            </w:r>
          </w:p>
        </w:tc>
      </w:tr>
      <w:tr w:rsidR="0019180C">
        <w:trPr>
          <w:trHeight w:val="300"/>
        </w:trPr>
        <w:tc>
          <w:tcPr>
            <w:tcW w:w="1170" w:type="dxa"/>
            <w:tcBorders>
              <w:top w:val="single" w:sz="4" w:space="0" w:color="auto"/>
              <w:left w:val="double" w:sz="4" w:space="0" w:color="auto"/>
              <w:bottom w:val="single" w:sz="4" w:space="0" w:color="auto"/>
              <w:right w:val="single" w:sz="4" w:space="0" w:color="auto"/>
            </w:tcBorders>
            <w:vAlign w:val="center"/>
          </w:tcPr>
          <w:p w:rsidR="0019180C" w:rsidRDefault="0019180C">
            <w:pPr>
              <w:keepNext/>
              <w:jc w:val="center"/>
            </w:pPr>
            <w:r>
              <w:t>CO</w:t>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0</w:t>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0</w:t>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200,000 lb/year</w:t>
            </w:r>
          </w:p>
        </w:tc>
        <w:tc>
          <w:tcPr>
            <w:tcW w:w="1710" w:type="dxa"/>
            <w:tcBorders>
              <w:top w:val="single" w:sz="4" w:space="0" w:color="auto"/>
              <w:left w:val="single" w:sz="4" w:space="0" w:color="auto"/>
              <w:bottom w:val="single" w:sz="4" w:space="0" w:color="auto"/>
              <w:right w:val="double" w:sz="4" w:space="0" w:color="auto"/>
            </w:tcBorders>
            <w:vAlign w:val="center"/>
          </w:tcPr>
          <w:p w:rsidR="0019180C" w:rsidRDefault="0019180C">
            <w:pPr>
              <w:keepNext/>
              <w:jc w:val="center"/>
              <w:rPr>
                <w:rFonts w:cs="Arial"/>
              </w:rPr>
            </w:pPr>
            <w:r>
              <w:rPr>
                <w:rFonts w:cs="Arial"/>
              </w:rPr>
              <w:t>No</w:t>
            </w:r>
          </w:p>
        </w:tc>
      </w:tr>
      <w:tr w:rsidR="0019180C">
        <w:trPr>
          <w:trHeight w:val="300"/>
        </w:trPr>
        <w:tc>
          <w:tcPr>
            <w:tcW w:w="1170" w:type="dxa"/>
            <w:tcBorders>
              <w:top w:val="single" w:sz="4" w:space="0" w:color="auto"/>
              <w:left w:val="double" w:sz="4" w:space="0" w:color="auto"/>
              <w:bottom w:val="double" w:sz="4" w:space="0" w:color="auto"/>
              <w:right w:val="single" w:sz="4" w:space="0" w:color="auto"/>
            </w:tcBorders>
            <w:vAlign w:val="center"/>
          </w:tcPr>
          <w:p w:rsidR="0019180C" w:rsidRDefault="0019180C">
            <w:pPr>
              <w:keepNext/>
              <w:jc w:val="center"/>
            </w:pPr>
            <w:r>
              <w:t>VOC</w:t>
            </w:r>
          </w:p>
        </w:tc>
        <w:tc>
          <w:tcPr>
            <w:tcW w:w="1980" w:type="dxa"/>
            <w:tcBorders>
              <w:top w:val="single" w:sz="4" w:space="0" w:color="auto"/>
              <w:left w:val="single" w:sz="4" w:space="0" w:color="auto"/>
              <w:bottom w:val="double" w:sz="4" w:space="0" w:color="auto"/>
              <w:right w:val="single" w:sz="4" w:space="0" w:color="auto"/>
            </w:tcBorders>
            <w:vAlign w:val="center"/>
          </w:tcPr>
          <w:p w:rsidR="0019180C" w:rsidRDefault="0019180C">
            <w:pPr>
              <w:keepNext/>
              <w:jc w:val="center"/>
              <w:rPr>
                <w:rFonts w:cs="Arial"/>
              </w:rPr>
            </w:pPr>
            <w:r>
              <w:rPr>
                <w:rFonts w:cs="Arial"/>
              </w:rPr>
              <w:t>0</w:t>
            </w:r>
          </w:p>
        </w:tc>
        <w:tc>
          <w:tcPr>
            <w:tcW w:w="1980" w:type="dxa"/>
            <w:tcBorders>
              <w:top w:val="single" w:sz="4" w:space="0" w:color="auto"/>
              <w:left w:val="single" w:sz="4" w:space="0" w:color="auto"/>
              <w:bottom w:val="double" w:sz="4" w:space="0" w:color="auto"/>
              <w:right w:val="single" w:sz="4" w:space="0" w:color="auto"/>
            </w:tcBorders>
            <w:vAlign w:val="center"/>
          </w:tcPr>
          <w:p w:rsidR="0019180C" w:rsidRDefault="0019180C">
            <w:pPr>
              <w:keepNext/>
              <w:jc w:val="center"/>
              <w:rPr>
                <w:rFonts w:cs="Arial"/>
              </w:rPr>
            </w:pPr>
            <w:r>
              <w:rPr>
                <w:rFonts w:cs="Arial"/>
              </w:rPr>
              <w:t>0</w:t>
            </w:r>
          </w:p>
        </w:tc>
        <w:tc>
          <w:tcPr>
            <w:tcW w:w="1980" w:type="dxa"/>
            <w:tcBorders>
              <w:top w:val="single" w:sz="4" w:space="0" w:color="auto"/>
              <w:left w:val="single" w:sz="4" w:space="0" w:color="auto"/>
              <w:bottom w:val="double" w:sz="4" w:space="0" w:color="auto"/>
              <w:right w:val="single" w:sz="4" w:space="0" w:color="auto"/>
            </w:tcBorders>
            <w:vAlign w:val="center"/>
          </w:tcPr>
          <w:p w:rsidR="0019180C" w:rsidRDefault="0019180C">
            <w:pPr>
              <w:keepNext/>
              <w:jc w:val="center"/>
              <w:rPr>
                <w:rFonts w:cs="Arial"/>
              </w:rPr>
            </w:pPr>
            <w:r>
              <w:rPr>
                <w:rFonts w:cs="Arial"/>
              </w:rPr>
              <w:t>20,000 lb/year</w:t>
            </w:r>
          </w:p>
        </w:tc>
        <w:tc>
          <w:tcPr>
            <w:tcW w:w="1710" w:type="dxa"/>
            <w:tcBorders>
              <w:top w:val="single" w:sz="4" w:space="0" w:color="auto"/>
              <w:left w:val="single" w:sz="4" w:space="0" w:color="auto"/>
              <w:bottom w:val="double" w:sz="4" w:space="0" w:color="auto"/>
              <w:right w:val="double" w:sz="4" w:space="0" w:color="auto"/>
            </w:tcBorders>
            <w:vAlign w:val="center"/>
          </w:tcPr>
          <w:p w:rsidR="0019180C" w:rsidRDefault="0019180C">
            <w:pPr>
              <w:keepNext/>
              <w:jc w:val="center"/>
              <w:rPr>
                <w:rFonts w:cs="Arial"/>
              </w:rPr>
            </w:pPr>
            <w:r>
              <w:rPr>
                <w:rFonts w:cs="Arial"/>
              </w:rPr>
              <w:t>No</w:t>
            </w:r>
          </w:p>
        </w:tc>
      </w:tr>
    </w:tbl>
    <w:p w:rsidR="0019180C" w:rsidRDefault="0019180C">
      <w:pPr>
        <w:ind w:left="1440"/>
        <w:rPr>
          <w:rFonts w:cs="Arial"/>
        </w:rPr>
      </w:pPr>
    </w:p>
    <w:p w:rsidR="0019180C" w:rsidRDefault="0019180C">
      <w:pPr>
        <w:ind w:left="720"/>
      </w:pPr>
      <w:r>
        <w:t>As detailed above, there were no thresholds surpassed with this project; therefore public noticing is not required for offset purposes.</w:t>
      </w:r>
    </w:p>
    <w:p w:rsidR="0019180C" w:rsidRDefault="0019180C">
      <w:pPr>
        <w:ind w:left="1440"/>
        <w:rPr>
          <w:color w:val="000000"/>
        </w:rPr>
      </w:pPr>
    </w:p>
    <w:p w:rsidR="0019180C" w:rsidRDefault="0019180C">
      <w:pPr>
        <w:tabs>
          <w:tab w:val="left" w:pos="2610"/>
        </w:tabs>
        <w:autoSpaceDE w:val="0"/>
        <w:autoSpaceDN w:val="0"/>
        <w:adjustRightInd w:val="0"/>
        <w:ind w:left="720"/>
        <w:rPr>
          <w:i/>
          <w:iCs/>
          <w:color w:val="0000FF"/>
        </w:rPr>
      </w:pPr>
      <w:r>
        <w:rPr>
          <w:i/>
          <w:iCs/>
          <w:color w:val="0000FF"/>
          <w:u w:val="single"/>
        </w:rPr>
        <w:t>Example (b)</w:t>
      </w:r>
      <w:r>
        <w:rPr>
          <w:i/>
          <w:iCs/>
          <w:color w:val="0000FF"/>
        </w:rPr>
        <w:t>:</w:t>
      </w:r>
      <w:r>
        <w:rPr>
          <w:i/>
          <w:iCs/>
          <w:color w:val="0000FF"/>
        </w:rPr>
        <w:tab/>
        <w:t>(For a project surpassing the offset threshold.)</w:t>
      </w:r>
    </w:p>
    <w:p w:rsidR="0019180C" w:rsidRDefault="0019180C">
      <w:pPr>
        <w:ind w:left="720"/>
        <w:rPr>
          <w:color w:val="000000"/>
        </w:rPr>
      </w:pPr>
      <w:r>
        <w:rPr>
          <w:color w:val="000000"/>
        </w:rPr>
        <w:lastRenderedPageBreak/>
        <w:t>The following table compares the SSPE1 with the SSPE2 in order to determine if any offset thresholds have been surpassed with this project.</w:t>
      </w:r>
    </w:p>
    <w:p w:rsidR="0019180C" w:rsidRDefault="0019180C">
      <w:pPr>
        <w:ind w:left="1440"/>
      </w:pPr>
    </w:p>
    <w:tbl>
      <w:tblPr>
        <w:tblW w:w="8820" w:type="dxa"/>
        <w:tblInd w:w="154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70"/>
        <w:gridCol w:w="1980"/>
        <w:gridCol w:w="1980"/>
        <w:gridCol w:w="1980"/>
        <w:gridCol w:w="1710"/>
      </w:tblGrid>
      <w:tr w:rsidR="0019180C" w:rsidTr="005722FE">
        <w:trPr>
          <w:cantSplit/>
          <w:trHeight w:val="300"/>
        </w:trPr>
        <w:tc>
          <w:tcPr>
            <w:tcW w:w="8820"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19180C" w:rsidRDefault="0019180C">
            <w:pPr>
              <w:keepNext/>
              <w:jc w:val="center"/>
              <w:rPr>
                <w:b/>
                <w:bCs/>
              </w:rPr>
            </w:pPr>
            <w:r>
              <w:rPr>
                <w:rFonts w:cs="Arial"/>
                <w:b/>
                <w:bCs/>
              </w:rPr>
              <w:t>Offset Threshold</w:t>
            </w:r>
          </w:p>
        </w:tc>
      </w:tr>
      <w:tr w:rsidR="0019180C" w:rsidTr="005722FE">
        <w:trPr>
          <w:trHeight w:val="300"/>
        </w:trPr>
        <w:tc>
          <w:tcPr>
            <w:tcW w:w="1170" w:type="dxa"/>
            <w:tcBorders>
              <w:top w:val="double" w:sz="4" w:space="0" w:color="auto"/>
              <w:left w:val="double" w:sz="4" w:space="0" w:color="auto"/>
              <w:bottom w:val="single" w:sz="12" w:space="0" w:color="auto"/>
              <w:right w:val="single" w:sz="4" w:space="0" w:color="auto"/>
            </w:tcBorders>
            <w:shd w:val="clear" w:color="auto" w:fill="auto"/>
            <w:vAlign w:val="center"/>
          </w:tcPr>
          <w:p w:rsidR="0019180C" w:rsidRDefault="0019180C">
            <w:pPr>
              <w:keepNext/>
              <w:jc w:val="center"/>
            </w:pPr>
            <w:r>
              <w:rPr>
                <w:rFonts w:cs="Arial"/>
              </w:rPr>
              <w:t>Pollutant</w:t>
            </w:r>
          </w:p>
        </w:tc>
        <w:tc>
          <w:tcPr>
            <w:tcW w:w="1980" w:type="dxa"/>
            <w:tcBorders>
              <w:top w:val="double" w:sz="4" w:space="0" w:color="auto"/>
              <w:left w:val="single" w:sz="4" w:space="0" w:color="auto"/>
              <w:bottom w:val="single" w:sz="12" w:space="0" w:color="auto"/>
              <w:right w:val="single" w:sz="4" w:space="0" w:color="auto"/>
            </w:tcBorders>
            <w:shd w:val="clear" w:color="auto" w:fill="auto"/>
            <w:vAlign w:val="center"/>
          </w:tcPr>
          <w:p w:rsidR="0019180C" w:rsidRDefault="0019180C">
            <w:pPr>
              <w:keepNext/>
              <w:jc w:val="center"/>
            </w:pPr>
            <w:r>
              <w:t>SSPE1</w:t>
            </w:r>
          </w:p>
          <w:p w:rsidR="0019180C" w:rsidRDefault="0019180C">
            <w:pPr>
              <w:keepNext/>
              <w:ind w:left="432"/>
              <w:rPr>
                <w:rFonts w:cs="Arial"/>
                <w:szCs w:val="24"/>
              </w:rPr>
            </w:pPr>
            <w:r>
              <w:t>(lb/year)</w:t>
            </w:r>
          </w:p>
        </w:tc>
        <w:tc>
          <w:tcPr>
            <w:tcW w:w="1980" w:type="dxa"/>
            <w:tcBorders>
              <w:top w:val="double" w:sz="4" w:space="0" w:color="auto"/>
              <w:left w:val="single" w:sz="4" w:space="0" w:color="auto"/>
              <w:bottom w:val="single" w:sz="12" w:space="0" w:color="auto"/>
              <w:right w:val="single" w:sz="4" w:space="0" w:color="auto"/>
            </w:tcBorders>
            <w:shd w:val="clear" w:color="auto" w:fill="auto"/>
            <w:vAlign w:val="center"/>
          </w:tcPr>
          <w:p w:rsidR="0019180C" w:rsidRDefault="0019180C">
            <w:pPr>
              <w:keepNext/>
              <w:jc w:val="center"/>
            </w:pPr>
            <w:r>
              <w:t>SSPE2</w:t>
            </w:r>
          </w:p>
          <w:p w:rsidR="0019180C" w:rsidRDefault="0019180C">
            <w:pPr>
              <w:keepNext/>
              <w:jc w:val="center"/>
            </w:pPr>
            <w:r>
              <w:t>(lb/year)</w:t>
            </w:r>
          </w:p>
        </w:tc>
        <w:tc>
          <w:tcPr>
            <w:tcW w:w="1980" w:type="dxa"/>
            <w:tcBorders>
              <w:top w:val="double" w:sz="4" w:space="0" w:color="auto"/>
              <w:left w:val="single" w:sz="4" w:space="0" w:color="auto"/>
              <w:bottom w:val="single" w:sz="12" w:space="0" w:color="auto"/>
              <w:right w:val="single" w:sz="4" w:space="0" w:color="auto"/>
            </w:tcBorders>
            <w:shd w:val="clear" w:color="auto" w:fill="auto"/>
            <w:vAlign w:val="center"/>
          </w:tcPr>
          <w:p w:rsidR="0019180C" w:rsidRDefault="0019180C">
            <w:pPr>
              <w:keepNext/>
              <w:jc w:val="center"/>
            </w:pPr>
            <w:r>
              <w:rPr>
                <w:rFonts w:cs="Arial"/>
              </w:rPr>
              <w:t>Offset</w:t>
            </w:r>
          </w:p>
          <w:p w:rsidR="0019180C" w:rsidRDefault="0019180C">
            <w:pPr>
              <w:keepNext/>
              <w:jc w:val="center"/>
            </w:pPr>
            <w:r>
              <w:rPr>
                <w:rFonts w:cs="Arial"/>
              </w:rPr>
              <w:t>Threshold</w:t>
            </w:r>
          </w:p>
        </w:tc>
        <w:tc>
          <w:tcPr>
            <w:tcW w:w="1710" w:type="dxa"/>
            <w:tcBorders>
              <w:top w:val="double" w:sz="4" w:space="0" w:color="auto"/>
              <w:left w:val="single" w:sz="4" w:space="0" w:color="auto"/>
              <w:bottom w:val="single" w:sz="12" w:space="0" w:color="auto"/>
              <w:right w:val="double" w:sz="4" w:space="0" w:color="auto"/>
            </w:tcBorders>
            <w:shd w:val="clear" w:color="auto" w:fill="auto"/>
            <w:vAlign w:val="center"/>
          </w:tcPr>
          <w:p w:rsidR="0019180C" w:rsidRDefault="0019180C">
            <w:pPr>
              <w:keepNext/>
              <w:jc w:val="center"/>
            </w:pPr>
            <w:r>
              <w:rPr>
                <w:rFonts w:cs="Arial"/>
              </w:rPr>
              <w:t>Public Notice Required?</w:t>
            </w:r>
          </w:p>
        </w:tc>
      </w:tr>
      <w:tr w:rsidR="0019180C">
        <w:trPr>
          <w:trHeight w:val="300"/>
        </w:trPr>
        <w:tc>
          <w:tcPr>
            <w:tcW w:w="1170" w:type="dxa"/>
            <w:tcBorders>
              <w:top w:val="single" w:sz="12" w:space="0" w:color="auto"/>
              <w:left w:val="double" w:sz="4" w:space="0" w:color="auto"/>
              <w:bottom w:val="single" w:sz="4" w:space="0" w:color="auto"/>
              <w:right w:val="single" w:sz="4" w:space="0" w:color="auto"/>
            </w:tcBorders>
            <w:vAlign w:val="center"/>
          </w:tcPr>
          <w:p w:rsidR="0019180C" w:rsidRDefault="0019180C">
            <w:pPr>
              <w:keepNext/>
              <w:jc w:val="center"/>
            </w:pPr>
            <w:r>
              <w:t>NO</w:t>
            </w:r>
            <w:r>
              <w:rPr>
                <w:vertAlign w:val="subscript"/>
              </w:rPr>
              <w:t>X</w:t>
            </w:r>
          </w:p>
        </w:tc>
        <w:tc>
          <w:tcPr>
            <w:tcW w:w="1980" w:type="dxa"/>
            <w:tcBorders>
              <w:top w:val="single" w:sz="12"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18,361</w:t>
            </w:r>
          </w:p>
        </w:tc>
        <w:tc>
          <w:tcPr>
            <w:tcW w:w="1980" w:type="dxa"/>
            <w:tcBorders>
              <w:top w:val="single" w:sz="12"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21,698</w:t>
            </w:r>
          </w:p>
        </w:tc>
        <w:tc>
          <w:tcPr>
            <w:tcW w:w="1980" w:type="dxa"/>
            <w:tcBorders>
              <w:top w:val="single" w:sz="12"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20,000 lb/year</w:t>
            </w:r>
          </w:p>
        </w:tc>
        <w:tc>
          <w:tcPr>
            <w:tcW w:w="1710" w:type="dxa"/>
            <w:tcBorders>
              <w:top w:val="single" w:sz="12" w:space="0" w:color="auto"/>
              <w:left w:val="single" w:sz="4" w:space="0" w:color="auto"/>
              <w:bottom w:val="single" w:sz="4" w:space="0" w:color="auto"/>
              <w:right w:val="double" w:sz="4" w:space="0" w:color="auto"/>
            </w:tcBorders>
            <w:vAlign w:val="center"/>
          </w:tcPr>
          <w:p w:rsidR="0019180C" w:rsidRDefault="0019180C">
            <w:pPr>
              <w:keepNext/>
              <w:jc w:val="center"/>
              <w:rPr>
                <w:rFonts w:cs="Arial"/>
              </w:rPr>
            </w:pPr>
            <w:r>
              <w:rPr>
                <w:rFonts w:cs="Arial"/>
              </w:rPr>
              <w:t>Yes</w:t>
            </w:r>
          </w:p>
        </w:tc>
      </w:tr>
      <w:tr w:rsidR="0019180C">
        <w:trPr>
          <w:trHeight w:val="300"/>
        </w:trPr>
        <w:tc>
          <w:tcPr>
            <w:tcW w:w="1170" w:type="dxa"/>
            <w:tcBorders>
              <w:top w:val="single" w:sz="4" w:space="0" w:color="auto"/>
              <w:left w:val="double" w:sz="4" w:space="0" w:color="auto"/>
              <w:bottom w:val="single" w:sz="4" w:space="0" w:color="auto"/>
              <w:right w:val="single" w:sz="4" w:space="0" w:color="auto"/>
            </w:tcBorders>
            <w:vAlign w:val="center"/>
          </w:tcPr>
          <w:p w:rsidR="0019180C" w:rsidRDefault="0019180C">
            <w:pPr>
              <w:keepNext/>
              <w:jc w:val="center"/>
            </w:pPr>
            <w:r>
              <w:t>SO</w:t>
            </w:r>
            <w:r>
              <w:rPr>
                <w:vertAlign w:val="subscript"/>
              </w:rPr>
              <w:t>X</w:t>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3,274</w:t>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3,963</w:t>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54,750 lb/year</w:t>
            </w:r>
          </w:p>
        </w:tc>
        <w:tc>
          <w:tcPr>
            <w:tcW w:w="1710" w:type="dxa"/>
            <w:tcBorders>
              <w:top w:val="single" w:sz="4" w:space="0" w:color="auto"/>
              <w:left w:val="single" w:sz="4" w:space="0" w:color="auto"/>
              <w:bottom w:val="single" w:sz="4" w:space="0" w:color="auto"/>
              <w:right w:val="double" w:sz="4" w:space="0" w:color="auto"/>
            </w:tcBorders>
            <w:vAlign w:val="center"/>
          </w:tcPr>
          <w:p w:rsidR="0019180C" w:rsidRDefault="0019180C">
            <w:pPr>
              <w:keepNext/>
              <w:jc w:val="center"/>
              <w:rPr>
                <w:rFonts w:cs="Arial"/>
              </w:rPr>
            </w:pPr>
            <w:r>
              <w:rPr>
                <w:rFonts w:cs="Arial"/>
              </w:rPr>
              <w:t>No</w:t>
            </w:r>
          </w:p>
        </w:tc>
      </w:tr>
      <w:tr w:rsidR="0019180C">
        <w:trPr>
          <w:trHeight w:val="300"/>
        </w:trPr>
        <w:tc>
          <w:tcPr>
            <w:tcW w:w="1170" w:type="dxa"/>
            <w:tcBorders>
              <w:top w:val="single" w:sz="4" w:space="0" w:color="auto"/>
              <w:left w:val="double" w:sz="4" w:space="0" w:color="auto"/>
              <w:bottom w:val="single" w:sz="4" w:space="0" w:color="auto"/>
              <w:right w:val="single" w:sz="4" w:space="0" w:color="auto"/>
            </w:tcBorders>
            <w:vAlign w:val="center"/>
          </w:tcPr>
          <w:p w:rsidR="0019180C" w:rsidRDefault="0019180C">
            <w:pPr>
              <w:keepNext/>
              <w:jc w:val="center"/>
            </w:pPr>
            <w:r>
              <w:t>PM</w:t>
            </w:r>
            <w:r>
              <w:rPr>
                <w:vertAlign w:val="subscript"/>
              </w:rPr>
              <w:t>10</w:t>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5,450</w:t>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6,785</w:t>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29,200 lb/year</w:t>
            </w:r>
          </w:p>
        </w:tc>
        <w:tc>
          <w:tcPr>
            <w:tcW w:w="1710" w:type="dxa"/>
            <w:tcBorders>
              <w:top w:val="single" w:sz="4" w:space="0" w:color="auto"/>
              <w:left w:val="single" w:sz="4" w:space="0" w:color="auto"/>
              <w:bottom w:val="single" w:sz="4" w:space="0" w:color="auto"/>
              <w:right w:val="double" w:sz="4" w:space="0" w:color="auto"/>
            </w:tcBorders>
            <w:vAlign w:val="center"/>
          </w:tcPr>
          <w:p w:rsidR="0019180C" w:rsidRDefault="0019180C">
            <w:pPr>
              <w:keepNext/>
              <w:jc w:val="center"/>
              <w:rPr>
                <w:rFonts w:cs="Arial"/>
              </w:rPr>
            </w:pPr>
            <w:r>
              <w:rPr>
                <w:rFonts w:cs="Arial"/>
              </w:rPr>
              <w:t>No</w:t>
            </w:r>
          </w:p>
        </w:tc>
      </w:tr>
      <w:tr w:rsidR="0019180C">
        <w:trPr>
          <w:trHeight w:val="300"/>
        </w:trPr>
        <w:tc>
          <w:tcPr>
            <w:tcW w:w="1170" w:type="dxa"/>
            <w:tcBorders>
              <w:top w:val="single" w:sz="4" w:space="0" w:color="auto"/>
              <w:left w:val="double" w:sz="4" w:space="0" w:color="auto"/>
              <w:bottom w:val="single" w:sz="4" w:space="0" w:color="auto"/>
              <w:right w:val="single" w:sz="4" w:space="0" w:color="auto"/>
            </w:tcBorders>
            <w:vAlign w:val="center"/>
          </w:tcPr>
          <w:p w:rsidR="0019180C" w:rsidRDefault="0019180C">
            <w:pPr>
              <w:keepNext/>
              <w:jc w:val="center"/>
            </w:pPr>
            <w:r>
              <w:t>CO</w:t>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25,680</w:t>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27,318</w:t>
            </w:r>
          </w:p>
        </w:tc>
        <w:tc>
          <w:tcPr>
            <w:tcW w:w="1980" w:type="dxa"/>
            <w:tcBorders>
              <w:top w:val="single" w:sz="4" w:space="0" w:color="auto"/>
              <w:left w:val="single" w:sz="4" w:space="0" w:color="auto"/>
              <w:bottom w:val="single" w:sz="4" w:space="0" w:color="auto"/>
              <w:right w:val="single" w:sz="4" w:space="0" w:color="auto"/>
            </w:tcBorders>
            <w:vAlign w:val="center"/>
          </w:tcPr>
          <w:p w:rsidR="0019180C" w:rsidRDefault="0019180C">
            <w:pPr>
              <w:keepNext/>
              <w:jc w:val="center"/>
              <w:rPr>
                <w:rFonts w:cs="Arial"/>
              </w:rPr>
            </w:pPr>
            <w:r>
              <w:rPr>
                <w:rFonts w:cs="Arial"/>
              </w:rPr>
              <w:t>200,000 lb/year</w:t>
            </w:r>
          </w:p>
        </w:tc>
        <w:tc>
          <w:tcPr>
            <w:tcW w:w="1710" w:type="dxa"/>
            <w:tcBorders>
              <w:top w:val="single" w:sz="4" w:space="0" w:color="auto"/>
              <w:left w:val="single" w:sz="4" w:space="0" w:color="auto"/>
              <w:bottom w:val="single" w:sz="4" w:space="0" w:color="auto"/>
              <w:right w:val="double" w:sz="4" w:space="0" w:color="auto"/>
            </w:tcBorders>
            <w:vAlign w:val="center"/>
          </w:tcPr>
          <w:p w:rsidR="0019180C" w:rsidRDefault="0019180C">
            <w:pPr>
              <w:keepNext/>
              <w:jc w:val="center"/>
              <w:rPr>
                <w:rFonts w:cs="Arial"/>
              </w:rPr>
            </w:pPr>
            <w:r>
              <w:rPr>
                <w:rFonts w:cs="Arial"/>
              </w:rPr>
              <w:t>No</w:t>
            </w:r>
          </w:p>
        </w:tc>
      </w:tr>
      <w:tr w:rsidR="0019180C">
        <w:trPr>
          <w:trHeight w:val="300"/>
        </w:trPr>
        <w:tc>
          <w:tcPr>
            <w:tcW w:w="1170" w:type="dxa"/>
            <w:tcBorders>
              <w:top w:val="single" w:sz="4" w:space="0" w:color="auto"/>
              <w:left w:val="double" w:sz="4" w:space="0" w:color="auto"/>
              <w:bottom w:val="double" w:sz="4" w:space="0" w:color="auto"/>
              <w:right w:val="single" w:sz="4" w:space="0" w:color="auto"/>
            </w:tcBorders>
            <w:vAlign w:val="center"/>
          </w:tcPr>
          <w:p w:rsidR="0019180C" w:rsidRDefault="0019180C">
            <w:pPr>
              <w:keepNext/>
              <w:jc w:val="center"/>
            </w:pPr>
            <w:r>
              <w:t>VOC</w:t>
            </w:r>
          </w:p>
        </w:tc>
        <w:tc>
          <w:tcPr>
            <w:tcW w:w="1980" w:type="dxa"/>
            <w:tcBorders>
              <w:top w:val="single" w:sz="4" w:space="0" w:color="auto"/>
              <w:left w:val="single" w:sz="4" w:space="0" w:color="auto"/>
              <w:bottom w:val="double" w:sz="4" w:space="0" w:color="auto"/>
              <w:right w:val="single" w:sz="4" w:space="0" w:color="auto"/>
            </w:tcBorders>
            <w:vAlign w:val="center"/>
          </w:tcPr>
          <w:p w:rsidR="0019180C" w:rsidRDefault="0019180C">
            <w:pPr>
              <w:keepNext/>
              <w:jc w:val="center"/>
              <w:rPr>
                <w:rFonts w:cs="Arial"/>
              </w:rPr>
            </w:pPr>
            <w:r>
              <w:rPr>
                <w:rFonts w:cs="Arial"/>
              </w:rPr>
              <w:t>17,552</w:t>
            </w:r>
          </w:p>
        </w:tc>
        <w:tc>
          <w:tcPr>
            <w:tcW w:w="1980" w:type="dxa"/>
            <w:tcBorders>
              <w:top w:val="single" w:sz="4" w:space="0" w:color="auto"/>
              <w:left w:val="single" w:sz="4" w:space="0" w:color="auto"/>
              <w:bottom w:val="double" w:sz="4" w:space="0" w:color="auto"/>
              <w:right w:val="single" w:sz="4" w:space="0" w:color="auto"/>
            </w:tcBorders>
            <w:vAlign w:val="center"/>
          </w:tcPr>
          <w:p w:rsidR="0019180C" w:rsidRDefault="0019180C">
            <w:pPr>
              <w:keepNext/>
              <w:jc w:val="center"/>
              <w:rPr>
                <w:rFonts w:cs="Arial"/>
              </w:rPr>
            </w:pPr>
            <w:r>
              <w:rPr>
                <w:rFonts w:cs="Arial"/>
              </w:rPr>
              <w:t>19,035</w:t>
            </w:r>
          </w:p>
        </w:tc>
        <w:tc>
          <w:tcPr>
            <w:tcW w:w="1980" w:type="dxa"/>
            <w:tcBorders>
              <w:top w:val="single" w:sz="4" w:space="0" w:color="auto"/>
              <w:left w:val="single" w:sz="4" w:space="0" w:color="auto"/>
              <w:bottom w:val="double" w:sz="4" w:space="0" w:color="auto"/>
              <w:right w:val="single" w:sz="4" w:space="0" w:color="auto"/>
            </w:tcBorders>
            <w:vAlign w:val="center"/>
          </w:tcPr>
          <w:p w:rsidR="0019180C" w:rsidRDefault="0019180C">
            <w:pPr>
              <w:keepNext/>
              <w:jc w:val="center"/>
              <w:rPr>
                <w:rFonts w:cs="Arial"/>
              </w:rPr>
            </w:pPr>
            <w:r>
              <w:rPr>
                <w:rFonts w:cs="Arial"/>
              </w:rPr>
              <w:t>20,000 lb/year</w:t>
            </w:r>
          </w:p>
        </w:tc>
        <w:tc>
          <w:tcPr>
            <w:tcW w:w="1710" w:type="dxa"/>
            <w:tcBorders>
              <w:top w:val="single" w:sz="4" w:space="0" w:color="auto"/>
              <w:left w:val="single" w:sz="4" w:space="0" w:color="auto"/>
              <w:bottom w:val="double" w:sz="4" w:space="0" w:color="auto"/>
              <w:right w:val="double" w:sz="4" w:space="0" w:color="auto"/>
            </w:tcBorders>
            <w:vAlign w:val="center"/>
          </w:tcPr>
          <w:p w:rsidR="0019180C" w:rsidRDefault="0019180C">
            <w:pPr>
              <w:keepNext/>
              <w:jc w:val="center"/>
              <w:rPr>
                <w:rFonts w:cs="Arial"/>
              </w:rPr>
            </w:pPr>
            <w:r>
              <w:rPr>
                <w:rFonts w:cs="Arial"/>
              </w:rPr>
              <w:t>No</w:t>
            </w:r>
          </w:p>
        </w:tc>
      </w:tr>
    </w:tbl>
    <w:p w:rsidR="0019180C" w:rsidRDefault="0019180C">
      <w:pPr>
        <w:ind w:left="1440"/>
        <w:rPr>
          <w:rFonts w:cs="Arial"/>
        </w:rPr>
      </w:pPr>
    </w:p>
    <w:p w:rsidR="0019180C" w:rsidRDefault="0019180C">
      <w:pPr>
        <w:ind w:left="720"/>
      </w:pPr>
      <w:r>
        <w:t>As detailed above, offset thresholds were surpassed for NO</w:t>
      </w:r>
      <w:r>
        <w:rPr>
          <w:vertAlign w:val="subscript"/>
        </w:rPr>
        <w:t>X</w:t>
      </w:r>
      <w:r>
        <w:t xml:space="preserve"> with this project; therefore public noticing is required for offset purposes.</w:t>
      </w:r>
      <w:r w:rsidR="004D313C">
        <w:t xml:space="preserve"> </w:t>
      </w:r>
      <w:r w:rsidR="004D313C">
        <w:rPr>
          <w:i/>
          <w:iCs/>
          <w:color w:val="FF0000"/>
        </w:rPr>
        <w:t>(</w:t>
      </w:r>
      <w:r w:rsidR="00273EE7">
        <w:rPr>
          <w:i/>
          <w:iCs/>
          <w:color w:val="FF0000"/>
        </w:rPr>
        <w:t>As stated earlier, i</w:t>
      </w:r>
      <w:r w:rsidR="004D313C">
        <w:rPr>
          <w:i/>
          <w:iCs/>
          <w:color w:val="FF0000"/>
        </w:rPr>
        <w:t>f this is true, this project is NO LONGER A GEAR. Check with your supervisor before further processing.)</w:t>
      </w:r>
    </w:p>
    <w:p w:rsidR="0019180C" w:rsidRDefault="0019180C">
      <w:pPr>
        <w:ind w:left="720"/>
        <w:rPr>
          <w:color w:val="000000"/>
        </w:rPr>
      </w:pPr>
    </w:p>
    <w:p w:rsidR="0019180C" w:rsidRDefault="0019180C">
      <w:pPr>
        <w:ind w:left="720"/>
        <w:rPr>
          <w:i/>
          <w:iCs/>
          <w:color w:val="FF0000"/>
        </w:rPr>
      </w:pPr>
      <w:r>
        <w:rPr>
          <w:i/>
          <w:iCs/>
          <w:color w:val="FF0000"/>
        </w:rPr>
        <w:t>(</w:t>
      </w:r>
      <w:r>
        <w:rPr>
          <w:i/>
          <w:iCs/>
          <w:color w:val="FF0000"/>
          <w:u w:val="single"/>
        </w:rPr>
        <w:t>Note</w:t>
      </w:r>
      <w:r>
        <w:rPr>
          <w:i/>
          <w:iCs/>
          <w:color w:val="FF0000"/>
        </w:rPr>
        <w:t>: Public notification is independent of whether or not Offsets are required.  For example, if this project involves the installation of emergency (offset-exempt) equipment and the offset threshold is surpassed, then public notification would still be triggered.  And conversely, if this project involves the installation of new equipment which required offsets; however, the SSPE1 was already greater than the offset threshold, public notification would not be triggered.)</w:t>
      </w:r>
    </w:p>
    <w:p w:rsidR="0019180C" w:rsidRDefault="0019180C">
      <w:pPr>
        <w:ind w:left="1440"/>
        <w:rPr>
          <w:color w:val="000000"/>
        </w:rPr>
      </w:pPr>
    </w:p>
    <w:p w:rsidR="0019180C" w:rsidRDefault="0019180C">
      <w:pPr>
        <w:pStyle w:val="Heading4"/>
        <w:rPr>
          <w:rFonts w:cs="Arial"/>
          <w:spacing w:val="-3"/>
        </w:rPr>
      </w:pPr>
      <w:r>
        <w:t>SSIPE &gt; 20,000 lb/year</w:t>
      </w:r>
    </w:p>
    <w:p w:rsidR="0019180C" w:rsidRDefault="0019180C">
      <w:pPr>
        <w:ind w:left="1440"/>
        <w:rPr>
          <w:rFonts w:cs="Arial"/>
          <w:color w:val="000000"/>
          <w:spacing w:val="-3"/>
        </w:rPr>
      </w:pPr>
    </w:p>
    <w:p w:rsidR="0019180C" w:rsidRDefault="0019180C">
      <w:pPr>
        <w:ind w:left="1080"/>
        <w:rPr>
          <w:rFonts w:cs="Arial"/>
          <w:color w:val="800000"/>
          <w:spacing w:val="-3"/>
        </w:rPr>
      </w:pPr>
      <w:r>
        <w:rPr>
          <w:rFonts w:cs="Arial"/>
          <w:color w:val="800000"/>
          <w:spacing w:val="-3"/>
        </w:rPr>
        <w:t>An SSIPE exceeding 20,000 pounds per year for any one pollutant triggers public notice.</w:t>
      </w:r>
    </w:p>
    <w:p w:rsidR="0019180C" w:rsidRDefault="0019180C">
      <w:pPr>
        <w:ind w:left="1440"/>
        <w:rPr>
          <w:rFonts w:cs="Arial"/>
          <w:color w:val="000000"/>
          <w:spacing w:val="-3"/>
        </w:rPr>
      </w:pPr>
    </w:p>
    <w:p w:rsidR="0019180C" w:rsidRDefault="0019180C">
      <w:pPr>
        <w:tabs>
          <w:tab w:val="left" w:pos="2250"/>
        </w:tabs>
        <w:autoSpaceDE w:val="0"/>
        <w:autoSpaceDN w:val="0"/>
        <w:adjustRightInd w:val="0"/>
        <w:ind w:left="1080"/>
        <w:rPr>
          <w:color w:val="000000"/>
        </w:rPr>
      </w:pPr>
      <w:r>
        <w:t xml:space="preserve">Public notification is required for any permitting action that results in a Stationary Source Increase in Permitted Emissions (SSIPE) of more than 20,000 lb/year of any affected pollutant.  According to District policy, the SSIPE is calculated as the Post Project Stationary Source Potential to Emit (SSPE2) minus the Pre-Project Stationary Source Potential to Emit (SSPE1), i.e. SSIPE = SSPE2 – SSPE1.  </w:t>
      </w:r>
      <w:r>
        <w:rPr>
          <w:rFonts w:cs="Arial"/>
          <w:spacing w:val="-3"/>
        </w:rPr>
        <w:t>The values for SSPE2 and SSPE1 are calculated according to Rule 2201, Sections 4.9 and 4.10, respectively.</w:t>
      </w:r>
      <w:r>
        <w:rPr>
          <w:color w:val="000000"/>
        </w:rPr>
        <w:t xml:space="preserve">  The SSIPE is compared to the SSIPE Public Notice thresholds in the following table:</w:t>
      </w:r>
    </w:p>
    <w:p w:rsidR="0019180C" w:rsidRDefault="0019180C">
      <w:pPr>
        <w:tabs>
          <w:tab w:val="left" w:pos="2250"/>
        </w:tabs>
        <w:autoSpaceDE w:val="0"/>
        <w:autoSpaceDN w:val="0"/>
        <w:adjustRightInd w:val="0"/>
        <w:ind w:left="1440"/>
      </w:pPr>
    </w:p>
    <w:p w:rsidR="0019180C" w:rsidRDefault="0019180C">
      <w:pPr>
        <w:ind w:left="1440"/>
        <w:rPr>
          <w:rFonts w:cs="Arial"/>
          <w:color w:val="0000FF"/>
          <w:spacing w:val="-3"/>
        </w:rPr>
      </w:pPr>
      <w:r>
        <w:rPr>
          <w:i/>
          <w:iCs/>
          <w:color w:val="0000FF"/>
          <w:u w:val="single"/>
        </w:rPr>
        <w:t>Example (a)</w:t>
      </w:r>
      <w:r>
        <w:rPr>
          <w:i/>
          <w:iCs/>
          <w:color w:val="0000FF"/>
        </w:rPr>
        <w:t>:</w:t>
      </w:r>
      <w:r>
        <w:rPr>
          <w:i/>
          <w:iCs/>
          <w:color w:val="0000FF"/>
        </w:rPr>
        <w:tab/>
        <w:t xml:space="preserve">(For a project where the SSIPE </w:t>
      </w:r>
      <w:r>
        <w:rPr>
          <w:i/>
          <w:iCs/>
          <w:color w:val="0000FF"/>
        </w:rPr>
        <w:sym w:font="Symbol" w:char="F0A3"/>
      </w:r>
      <w:r>
        <w:rPr>
          <w:i/>
          <w:iCs/>
          <w:color w:val="0000FF"/>
        </w:rPr>
        <w:t xml:space="preserve"> 20,000 lb/year.)</w:t>
      </w:r>
    </w:p>
    <w:tbl>
      <w:tblPr>
        <w:tblW w:w="8910" w:type="dxa"/>
        <w:tblInd w:w="1562" w:type="dxa"/>
        <w:tblLayout w:type="fixed"/>
        <w:tblCellMar>
          <w:left w:w="122" w:type="dxa"/>
          <w:right w:w="122" w:type="dxa"/>
        </w:tblCellMar>
        <w:tblLook w:val="0000" w:firstRow="0" w:lastRow="0" w:firstColumn="0" w:lastColumn="0" w:noHBand="0" w:noVBand="0"/>
      </w:tblPr>
      <w:tblGrid>
        <w:gridCol w:w="1168"/>
        <w:gridCol w:w="1290"/>
        <w:gridCol w:w="1291"/>
        <w:gridCol w:w="1291"/>
        <w:gridCol w:w="2250"/>
        <w:gridCol w:w="1620"/>
      </w:tblGrid>
      <w:tr w:rsidR="0019180C" w:rsidTr="005722FE">
        <w:trPr>
          <w:cantSplit/>
        </w:trPr>
        <w:tc>
          <w:tcPr>
            <w:tcW w:w="8910" w:type="dxa"/>
            <w:gridSpan w:val="6"/>
            <w:tcBorders>
              <w:top w:val="double" w:sz="6" w:space="0" w:color="auto"/>
              <w:left w:val="double" w:sz="6" w:space="0" w:color="auto"/>
              <w:right w:val="double" w:sz="6" w:space="0" w:color="auto"/>
            </w:tcBorders>
            <w:shd w:val="clear" w:color="auto" w:fill="auto"/>
          </w:tcPr>
          <w:p w:rsidR="0019180C" w:rsidRDefault="0019180C">
            <w:pPr>
              <w:jc w:val="center"/>
              <w:rPr>
                <w:b/>
                <w:bCs/>
              </w:rPr>
            </w:pPr>
            <w:r>
              <w:rPr>
                <w:b/>
                <w:bCs/>
              </w:rPr>
              <w:t>Stationary Source Increase in Permitted Emissions [SSIPE] – Public Notice</w:t>
            </w:r>
          </w:p>
        </w:tc>
      </w:tr>
      <w:tr w:rsidR="0019180C" w:rsidTr="005722FE">
        <w:tc>
          <w:tcPr>
            <w:tcW w:w="1168" w:type="dxa"/>
            <w:tcBorders>
              <w:top w:val="double" w:sz="6" w:space="0" w:color="auto"/>
              <w:left w:val="double" w:sz="6" w:space="0" w:color="auto"/>
            </w:tcBorders>
            <w:shd w:val="clear" w:color="auto" w:fill="auto"/>
            <w:vAlign w:val="center"/>
          </w:tcPr>
          <w:p w:rsidR="0019180C" w:rsidRDefault="0019180C">
            <w:pPr>
              <w:suppressAutoHyphens/>
              <w:jc w:val="center"/>
              <w:rPr>
                <w:spacing w:val="-3"/>
              </w:rPr>
            </w:pPr>
            <w:r>
              <w:rPr>
                <w:spacing w:val="-3"/>
              </w:rPr>
              <w:t>Pollutant</w:t>
            </w:r>
          </w:p>
        </w:tc>
        <w:tc>
          <w:tcPr>
            <w:tcW w:w="1290" w:type="dxa"/>
            <w:tcBorders>
              <w:top w:val="double" w:sz="6" w:space="0" w:color="auto"/>
              <w:left w:val="single" w:sz="6" w:space="0" w:color="auto"/>
            </w:tcBorders>
            <w:shd w:val="clear" w:color="auto" w:fill="auto"/>
            <w:vAlign w:val="center"/>
          </w:tcPr>
          <w:p w:rsidR="0019180C" w:rsidRDefault="0019180C">
            <w:pPr>
              <w:suppressAutoHyphens/>
              <w:jc w:val="center"/>
              <w:rPr>
                <w:spacing w:val="-3"/>
              </w:rPr>
            </w:pPr>
            <w:r>
              <w:rPr>
                <w:spacing w:val="-3"/>
              </w:rPr>
              <w:t>SSPE2 (lb/year)</w:t>
            </w:r>
          </w:p>
        </w:tc>
        <w:tc>
          <w:tcPr>
            <w:tcW w:w="1291" w:type="dxa"/>
            <w:tcBorders>
              <w:top w:val="double" w:sz="6" w:space="0" w:color="auto"/>
              <w:left w:val="single" w:sz="6" w:space="0" w:color="auto"/>
              <w:right w:val="single" w:sz="6" w:space="0" w:color="auto"/>
            </w:tcBorders>
            <w:shd w:val="clear" w:color="auto" w:fill="auto"/>
            <w:vAlign w:val="center"/>
          </w:tcPr>
          <w:p w:rsidR="0019180C" w:rsidRDefault="0019180C">
            <w:pPr>
              <w:suppressAutoHyphens/>
              <w:jc w:val="center"/>
              <w:rPr>
                <w:spacing w:val="-3"/>
              </w:rPr>
            </w:pPr>
            <w:r>
              <w:rPr>
                <w:spacing w:val="-3"/>
              </w:rPr>
              <w:t>SSPE1 (lb/year)</w:t>
            </w:r>
          </w:p>
        </w:tc>
        <w:tc>
          <w:tcPr>
            <w:tcW w:w="1291" w:type="dxa"/>
            <w:tcBorders>
              <w:top w:val="double" w:sz="6" w:space="0" w:color="auto"/>
              <w:left w:val="single" w:sz="6" w:space="0" w:color="auto"/>
            </w:tcBorders>
            <w:shd w:val="clear" w:color="auto" w:fill="auto"/>
            <w:vAlign w:val="center"/>
          </w:tcPr>
          <w:p w:rsidR="0019180C" w:rsidRDefault="0019180C">
            <w:pPr>
              <w:suppressAutoHyphens/>
              <w:jc w:val="center"/>
              <w:rPr>
                <w:spacing w:val="-3"/>
              </w:rPr>
            </w:pPr>
            <w:r>
              <w:rPr>
                <w:rFonts w:cs="Arial"/>
              </w:rPr>
              <w:t xml:space="preserve">SSIPE </w:t>
            </w:r>
            <w:r>
              <w:rPr>
                <w:spacing w:val="-3"/>
              </w:rPr>
              <w:t>(lb/year)</w:t>
            </w:r>
          </w:p>
        </w:tc>
        <w:tc>
          <w:tcPr>
            <w:tcW w:w="2250" w:type="dxa"/>
            <w:tcBorders>
              <w:top w:val="double" w:sz="6" w:space="0" w:color="auto"/>
              <w:left w:val="single" w:sz="6" w:space="0" w:color="auto"/>
            </w:tcBorders>
            <w:shd w:val="clear" w:color="auto" w:fill="auto"/>
            <w:vAlign w:val="center"/>
          </w:tcPr>
          <w:p w:rsidR="0019180C" w:rsidRDefault="0019180C">
            <w:pPr>
              <w:suppressAutoHyphens/>
              <w:jc w:val="center"/>
              <w:rPr>
                <w:spacing w:val="-3"/>
              </w:rPr>
            </w:pPr>
            <w:r>
              <w:rPr>
                <w:spacing w:val="-3"/>
              </w:rPr>
              <w:t>SSIPE Public Notice Threshold</w:t>
            </w:r>
          </w:p>
        </w:tc>
        <w:tc>
          <w:tcPr>
            <w:tcW w:w="1620" w:type="dxa"/>
            <w:tcBorders>
              <w:top w:val="double" w:sz="6" w:space="0" w:color="auto"/>
              <w:left w:val="single" w:sz="6" w:space="0" w:color="auto"/>
              <w:right w:val="double" w:sz="6" w:space="0" w:color="auto"/>
            </w:tcBorders>
            <w:shd w:val="clear" w:color="auto" w:fill="auto"/>
            <w:vAlign w:val="center"/>
          </w:tcPr>
          <w:p w:rsidR="0019180C" w:rsidRDefault="0019180C">
            <w:pPr>
              <w:suppressAutoHyphens/>
              <w:jc w:val="center"/>
              <w:rPr>
                <w:spacing w:val="-3"/>
              </w:rPr>
            </w:pPr>
            <w:r>
              <w:rPr>
                <w:spacing w:val="-3"/>
              </w:rPr>
              <w:t>Public Notice Required?</w:t>
            </w:r>
          </w:p>
        </w:tc>
      </w:tr>
      <w:tr w:rsidR="0019180C" w:rsidTr="005722FE">
        <w:tc>
          <w:tcPr>
            <w:tcW w:w="1168" w:type="dxa"/>
            <w:tcBorders>
              <w:top w:val="double" w:sz="6" w:space="0" w:color="auto"/>
              <w:left w:val="double" w:sz="6" w:space="0" w:color="auto"/>
            </w:tcBorders>
            <w:shd w:val="clear" w:color="auto" w:fill="auto"/>
            <w:vAlign w:val="center"/>
          </w:tcPr>
          <w:p w:rsidR="0019180C" w:rsidRDefault="0019180C">
            <w:pPr>
              <w:suppressAutoHyphens/>
              <w:jc w:val="center"/>
              <w:rPr>
                <w:spacing w:val="-3"/>
              </w:rPr>
            </w:pPr>
            <w:r>
              <w:rPr>
                <w:noProof/>
                <w:spacing w:val="-3"/>
              </w:rPr>
              <w:t>NO</w:t>
            </w:r>
            <w:r>
              <w:rPr>
                <w:noProof/>
                <w:spacing w:val="-3"/>
                <w:vertAlign w:val="subscript"/>
              </w:rPr>
              <w:t>x</w:t>
            </w:r>
          </w:p>
        </w:tc>
        <w:tc>
          <w:tcPr>
            <w:tcW w:w="1290" w:type="dxa"/>
            <w:tcBorders>
              <w:top w:val="double" w:sz="6" w:space="0" w:color="auto"/>
              <w:left w:val="single" w:sz="6" w:space="0" w:color="auto"/>
            </w:tcBorders>
            <w:shd w:val="clear" w:color="auto" w:fill="auto"/>
            <w:vAlign w:val="center"/>
          </w:tcPr>
          <w:p w:rsidR="0019180C" w:rsidRDefault="0019180C">
            <w:pPr>
              <w:suppressAutoHyphens/>
              <w:jc w:val="center"/>
              <w:rPr>
                <w:spacing w:val="-3"/>
              </w:rPr>
            </w:pPr>
            <w:r>
              <w:rPr>
                <w:spacing w:val="-3"/>
              </w:rPr>
              <w:t>876</w:t>
            </w:r>
          </w:p>
        </w:tc>
        <w:tc>
          <w:tcPr>
            <w:tcW w:w="1291" w:type="dxa"/>
            <w:tcBorders>
              <w:top w:val="double" w:sz="6" w:space="0" w:color="auto"/>
              <w:left w:val="single" w:sz="6" w:space="0" w:color="auto"/>
              <w:right w:val="single" w:sz="6" w:space="0" w:color="auto"/>
            </w:tcBorders>
            <w:shd w:val="clear" w:color="auto" w:fill="auto"/>
            <w:vAlign w:val="center"/>
          </w:tcPr>
          <w:p w:rsidR="0019180C" w:rsidRDefault="0019180C">
            <w:pPr>
              <w:suppressAutoHyphens/>
              <w:jc w:val="center"/>
              <w:rPr>
                <w:spacing w:val="-3"/>
              </w:rPr>
            </w:pPr>
            <w:r>
              <w:rPr>
                <w:spacing w:val="-3"/>
              </w:rPr>
              <w:t>0</w:t>
            </w:r>
          </w:p>
        </w:tc>
        <w:tc>
          <w:tcPr>
            <w:tcW w:w="1291" w:type="dxa"/>
            <w:tcBorders>
              <w:top w:val="double" w:sz="6" w:space="0" w:color="auto"/>
              <w:left w:val="single" w:sz="6" w:space="0" w:color="auto"/>
            </w:tcBorders>
            <w:shd w:val="clear" w:color="auto" w:fill="auto"/>
            <w:vAlign w:val="center"/>
          </w:tcPr>
          <w:p w:rsidR="0019180C" w:rsidRDefault="0019180C">
            <w:pPr>
              <w:suppressAutoHyphens/>
              <w:jc w:val="center"/>
              <w:rPr>
                <w:spacing w:val="-3"/>
              </w:rPr>
            </w:pPr>
            <w:r>
              <w:rPr>
                <w:spacing w:val="-3"/>
              </w:rPr>
              <w:fldChar w:fldCharType="begin"/>
            </w:r>
            <w:r>
              <w:rPr>
                <w:spacing w:val="-3"/>
              </w:rPr>
              <w:instrText xml:space="preserve"> =(B3-C3) </w:instrText>
            </w:r>
            <w:r>
              <w:rPr>
                <w:spacing w:val="-3"/>
              </w:rPr>
              <w:fldChar w:fldCharType="separate"/>
            </w:r>
            <w:r>
              <w:rPr>
                <w:noProof/>
                <w:spacing w:val="-3"/>
              </w:rPr>
              <w:t>876</w:t>
            </w:r>
            <w:r>
              <w:rPr>
                <w:spacing w:val="-3"/>
              </w:rPr>
              <w:fldChar w:fldCharType="end"/>
            </w:r>
          </w:p>
        </w:tc>
        <w:tc>
          <w:tcPr>
            <w:tcW w:w="2250" w:type="dxa"/>
            <w:tcBorders>
              <w:top w:val="double" w:sz="6" w:space="0" w:color="auto"/>
              <w:left w:val="single" w:sz="6" w:space="0" w:color="auto"/>
            </w:tcBorders>
            <w:shd w:val="clear" w:color="auto" w:fill="auto"/>
            <w:vAlign w:val="center"/>
          </w:tcPr>
          <w:p w:rsidR="0019180C" w:rsidRDefault="0019180C">
            <w:pPr>
              <w:suppressAutoHyphens/>
              <w:jc w:val="center"/>
              <w:rPr>
                <w:spacing w:val="-3"/>
              </w:rPr>
            </w:pPr>
            <w:r>
              <w:rPr>
                <w:spacing w:val="-3"/>
              </w:rPr>
              <w:t>20,000 lb/year</w:t>
            </w:r>
          </w:p>
        </w:tc>
        <w:tc>
          <w:tcPr>
            <w:tcW w:w="1620" w:type="dxa"/>
            <w:tcBorders>
              <w:top w:val="double" w:sz="6" w:space="0" w:color="auto"/>
              <w:left w:val="single" w:sz="6" w:space="0" w:color="auto"/>
              <w:right w:val="double" w:sz="6" w:space="0" w:color="auto"/>
            </w:tcBorders>
            <w:shd w:val="clear" w:color="auto" w:fill="auto"/>
            <w:vAlign w:val="center"/>
          </w:tcPr>
          <w:p w:rsidR="0019180C" w:rsidRDefault="0019180C">
            <w:pPr>
              <w:suppressAutoHyphens/>
              <w:jc w:val="center"/>
              <w:rPr>
                <w:spacing w:val="-3"/>
              </w:rPr>
            </w:pPr>
            <w:r>
              <w:rPr>
                <w:spacing w:val="-3"/>
              </w:rPr>
              <w:t>No</w:t>
            </w:r>
          </w:p>
        </w:tc>
      </w:tr>
      <w:tr w:rsidR="0019180C" w:rsidTr="005722FE">
        <w:tc>
          <w:tcPr>
            <w:tcW w:w="1168" w:type="dxa"/>
            <w:tcBorders>
              <w:top w:val="single" w:sz="6" w:space="0" w:color="auto"/>
              <w:left w:val="double" w:sz="6" w:space="0" w:color="auto"/>
            </w:tcBorders>
            <w:shd w:val="clear" w:color="auto" w:fill="auto"/>
            <w:vAlign w:val="center"/>
          </w:tcPr>
          <w:p w:rsidR="0019180C" w:rsidRDefault="0019180C">
            <w:pPr>
              <w:suppressAutoHyphens/>
              <w:jc w:val="center"/>
              <w:rPr>
                <w:spacing w:val="-3"/>
              </w:rPr>
            </w:pPr>
            <w:r>
              <w:rPr>
                <w:noProof/>
                <w:spacing w:val="-3"/>
              </w:rPr>
              <w:t>SO</w:t>
            </w:r>
            <w:r>
              <w:rPr>
                <w:noProof/>
                <w:spacing w:val="-3"/>
                <w:vertAlign w:val="subscript"/>
              </w:rPr>
              <w:t>x</w:t>
            </w:r>
          </w:p>
        </w:tc>
        <w:tc>
          <w:tcPr>
            <w:tcW w:w="1290" w:type="dxa"/>
            <w:tcBorders>
              <w:top w:val="single" w:sz="6" w:space="0" w:color="auto"/>
              <w:left w:val="single" w:sz="6" w:space="0" w:color="auto"/>
            </w:tcBorders>
            <w:shd w:val="clear" w:color="auto" w:fill="auto"/>
            <w:vAlign w:val="center"/>
          </w:tcPr>
          <w:p w:rsidR="0019180C" w:rsidRDefault="0019180C">
            <w:pPr>
              <w:suppressAutoHyphens/>
              <w:jc w:val="center"/>
              <w:rPr>
                <w:spacing w:val="-3"/>
              </w:rPr>
            </w:pPr>
            <w:r>
              <w:rPr>
                <w:spacing w:val="-3"/>
              </w:rPr>
              <w:t>37</w:t>
            </w:r>
          </w:p>
        </w:tc>
        <w:tc>
          <w:tcPr>
            <w:tcW w:w="1291" w:type="dxa"/>
            <w:tcBorders>
              <w:top w:val="single" w:sz="6" w:space="0" w:color="auto"/>
              <w:left w:val="single" w:sz="6" w:space="0" w:color="auto"/>
              <w:right w:val="single" w:sz="6" w:space="0" w:color="auto"/>
            </w:tcBorders>
            <w:shd w:val="clear" w:color="auto" w:fill="auto"/>
            <w:vAlign w:val="center"/>
          </w:tcPr>
          <w:p w:rsidR="0019180C" w:rsidRDefault="0019180C">
            <w:pPr>
              <w:suppressAutoHyphens/>
              <w:jc w:val="center"/>
              <w:rPr>
                <w:spacing w:val="-3"/>
              </w:rPr>
            </w:pPr>
            <w:r>
              <w:rPr>
                <w:spacing w:val="-3"/>
              </w:rPr>
              <w:t>0</w:t>
            </w:r>
          </w:p>
        </w:tc>
        <w:tc>
          <w:tcPr>
            <w:tcW w:w="1291" w:type="dxa"/>
            <w:tcBorders>
              <w:top w:val="single" w:sz="6" w:space="0" w:color="auto"/>
              <w:left w:val="single" w:sz="6" w:space="0" w:color="auto"/>
            </w:tcBorders>
            <w:shd w:val="clear" w:color="auto" w:fill="auto"/>
            <w:vAlign w:val="center"/>
          </w:tcPr>
          <w:p w:rsidR="0019180C" w:rsidRDefault="0019180C">
            <w:pPr>
              <w:suppressAutoHyphens/>
              <w:jc w:val="center"/>
              <w:rPr>
                <w:spacing w:val="-3"/>
              </w:rPr>
            </w:pPr>
            <w:r>
              <w:rPr>
                <w:spacing w:val="-3"/>
              </w:rPr>
              <w:fldChar w:fldCharType="begin"/>
            </w:r>
            <w:r>
              <w:rPr>
                <w:spacing w:val="-3"/>
              </w:rPr>
              <w:instrText xml:space="preserve"> =(B4-C4) </w:instrText>
            </w:r>
            <w:r>
              <w:rPr>
                <w:spacing w:val="-3"/>
              </w:rPr>
              <w:fldChar w:fldCharType="separate"/>
            </w:r>
            <w:r>
              <w:rPr>
                <w:noProof/>
                <w:spacing w:val="-3"/>
              </w:rPr>
              <w:t>37</w:t>
            </w:r>
            <w:r>
              <w:rPr>
                <w:spacing w:val="-3"/>
              </w:rPr>
              <w:fldChar w:fldCharType="end"/>
            </w:r>
          </w:p>
        </w:tc>
        <w:tc>
          <w:tcPr>
            <w:tcW w:w="2250" w:type="dxa"/>
            <w:tcBorders>
              <w:top w:val="single" w:sz="6" w:space="0" w:color="auto"/>
              <w:left w:val="single" w:sz="6" w:space="0" w:color="auto"/>
            </w:tcBorders>
            <w:shd w:val="clear" w:color="auto" w:fill="auto"/>
            <w:vAlign w:val="center"/>
          </w:tcPr>
          <w:p w:rsidR="0019180C" w:rsidRDefault="0019180C">
            <w:pPr>
              <w:suppressAutoHyphens/>
              <w:jc w:val="center"/>
              <w:rPr>
                <w:spacing w:val="-3"/>
              </w:rPr>
            </w:pPr>
            <w:r>
              <w:rPr>
                <w:spacing w:val="-3"/>
              </w:rPr>
              <w:t>20,000 lb/year</w:t>
            </w:r>
          </w:p>
        </w:tc>
        <w:tc>
          <w:tcPr>
            <w:tcW w:w="1620" w:type="dxa"/>
            <w:tcBorders>
              <w:top w:val="single" w:sz="6" w:space="0" w:color="auto"/>
              <w:left w:val="single" w:sz="6" w:space="0" w:color="auto"/>
              <w:right w:val="double" w:sz="6" w:space="0" w:color="auto"/>
            </w:tcBorders>
            <w:shd w:val="clear" w:color="auto" w:fill="auto"/>
            <w:vAlign w:val="center"/>
          </w:tcPr>
          <w:p w:rsidR="0019180C" w:rsidRDefault="0019180C">
            <w:pPr>
              <w:suppressAutoHyphens/>
              <w:jc w:val="center"/>
              <w:rPr>
                <w:spacing w:val="-3"/>
              </w:rPr>
            </w:pPr>
            <w:r>
              <w:rPr>
                <w:spacing w:val="-3"/>
              </w:rPr>
              <w:t>No</w:t>
            </w:r>
          </w:p>
        </w:tc>
      </w:tr>
      <w:tr w:rsidR="0019180C" w:rsidTr="005722FE">
        <w:tc>
          <w:tcPr>
            <w:tcW w:w="1168" w:type="dxa"/>
            <w:tcBorders>
              <w:top w:val="single" w:sz="6" w:space="0" w:color="auto"/>
              <w:left w:val="double" w:sz="6" w:space="0" w:color="auto"/>
            </w:tcBorders>
            <w:shd w:val="clear" w:color="auto" w:fill="auto"/>
            <w:vAlign w:val="center"/>
          </w:tcPr>
          <w:p w:rsidR="0019180C" w:rsidRDefault="0019180C">
            <w:pPr>
              <w:suppressAutoHyphens/>
              <w:jc w:val="center"/>
              <w:rPr>
                <w:spacing w:val="-3"/>
              </w:rPr>
            </w:pPr>
            <w:r>
              <w:rPr>
                <w:spacing w:val="-3"/>
              </w:rPr>
              <w:t>PM</w:t>
            </w:r>
            <w:r>
              <w:rPr>
                <w:spacing w:val="-3"/>
                <w:vertAlign w:val="subscript"/>
              </w:rPr>
              <w:t>10</w:t>
            </w:r>
          </w:p>
        </w:tc>
        <w:tc>
          <w:tcPr>
            <w:tcW w:w="1290" w:type="dxa"/>
            <w:tcBorders>
              <w:top w:val="single" w:sz="6" w:space="0" w:color="auto"/>
              <w:left w:val="single" w:sz="6" w:space="0" w:color="auto"/>
            </w:tcBorders>
            <w:shd w:val="clear" w:color="auto" w:fill="auto"/>
            <w:vAlign w:val="center"/>
          </w:tcPr>
          <w:p w:rsidR="0019180C" w:rsidRDefault="0019180C">
            <w:pPr>
              <w:suppressAutoHyphens/>
              <w:jc w:val="center"/>
              <w:rPr>
                <w:spacing w:val="-3"/>
              </w:rPr>
            </w:pPr>
            <w:r>
              <w:rPr>
                <w:spacing w:val="-3"/>
              </w:rPr>
              <w:t>8,438</w:t>
            </w:r>
          </w:p>
        </w:tc>
        <w:tc>
          <w:tcPr>
            <w:tcW w:w="1291" w:type="dxa"/>
            <w:tcBorders>
              <w:top w:val="single" w:sz="6" w:space="0" w:color="auto"/>
              <w:left w:val="single" w:sz="6" w:space="0" w:color="auto"/>
              <w:right w:val="single" w:sz="6" w:space="0" w:color="auto"/>
            </w:tcBorders>
            <w:shd w:val="clear" w:color="auto" w:fill="auto"/>
            <w:vAlign w:val="center"/>
          </w:tcPr>
          <w:p w:rsidR="0019180C" w:rsidRDefault="0019180C">
            <w:pPr>
              <w:suppressAutoHyphens/>
              <w:jc w:val="center"/>
              <w:rPr>
                <w:spacing w:val="-3"/>
              </w:rPr>
            </w:pPr>
            <w:r>
              <w:rPr>
                <w:spacing w:val="-3"/>
              </w:rPr>
              <w:t>3,776</w:t>
            </w:r>
          </w:p>
        </w:tc>
        <w:tc>
          <w:tcPr>
            <w:tcW w:w="1291" w:type="dxa"/>
            <w:tcBorders>
              <w:top w:val="single" w:sz="6" w:space="0" w:color="auto"/>
              <w:left w:val="single" w:sz="6" w:space="0" w:color="auto"/>
            </w:tcBorders>
            <w:shd w:val="clear" w:color="auto" w:fill="auto"/>
            <w:vAlign w:val="center"/>
          </w:tcPr>
          <w:p w:rsidR="0019180C" w:rsidRDefault="0019180C">
            <w:pPr>
              <w:suppressAutoHyphens/>
              <w:jc w:val="center"/>
              <w:rPr>
                <w:spacing w:val="-3"/>
              </w:rPr>
            </w:pPr>
            <w:r>
              <w:rPr>
                <w:spacing w:val="-3"/>
              </w:rPr>
              <w:fldChar w:fldCharType="begin"/>
            </w:r>
            <w:r>
              <w:rPr>
                <w:spacing w:val="-3"/>
              </w:rPr>
              <w:instrText xml:space="preserve"> =(B5-C5) </w:instrText>
            </w:r>
            <w:r>
              <w:rPr>
                <w:spacing w:val="-3"/>
              </w:rPr>
              <w:fldChar w:fldCharType="separate"/>
            </w:r>
            <w:r>
              <w:rPr>
                <w:noProof/>
                <w:spacing w:val="-3"/>
              </w:rPr>
              <w:t>4,662</w:t>
            </w:r>
            <w:r>
              <w:rPr>
                <w:spacing w:val="-3"/>
              </w:rPr>
              <w:fldChar w:fldCharType="end"/>
            </w:r>
          </w:p>
        </w:tc>
        <w:tc>
          <w:tcPr>
            <w:tcW w:w="2250" w:type="dxa"/>
            <w:tcBorders>
              <w:top w:val="single" w:sz="6" w:space="0" w:color="auto"/>
              <w:left w:val="single" w:sz="6" w:space="0" w:color="auto"/>
            </w:tcBorders>
            <w:shd w:val="clear" w:color="auto" w:fill="auto"/>
            <w:vAlign w:val="center"/>
          </w:tcPr>
          <w:p w:rsidR="0019180C" w:rsidRDefault="0019180C">
            <w:pPr>
              <w:suppressAutoHyphens/>
              <w:jc w:val="center"/>
              <w:rPr>
                <w:spacing w:val="-3"/>
              </w:rPr>
            </w:pPr>
            <w:r>
              <w:rPr>
                <w:spacing w:val="-3"/>
              </w:rPr>
              <w:t>20,000 lb/year</w:t>
            </w:r>
          </w:p>
        </w:tc>
        <w:tc>
          <w:tcPr>
            <w:tcW w:w="1620" w:type="dxa"/>
            <w:tcBorders>
              <w:top w:val="single" w:sz="6" w:space="0" w:color="auto"/>
              <w:left w:val="single" w:sz="6" w:space="0" w:color="auto"/>
              <w:right w:val="double" w:sz="6" w:space="0" w:color="auto"/>
            </w:tcBorders>
            <w:shd w:val="clear" w:color="auto" w:fill="auto"/>
            <w:vAlign w:val="center"/>
          </w:tcPr>
          <w:p w:rsidR="0019180C" w:rsidRDefault="0019180C">
            <w:pPr>
              <w:suppressAutoHyphens/>
              <w:jc w:val="center"/>
              <w:rPr>
                <w:spacing w:val="-3"/>
              </w:rPr>
            </w:pPr>
            <w:r>
              <w:rPr>
                <w:spacing w:val="-3"/>
              </w:rPr>
              <w:t>No</w:t>
            </w:r>
          </w:p>
        </w:tc>
      </w:tr>
      <w:tr w:rsidR="0019180C" w:rsidTr="005722FE">
        <w:tc>
          <w:tcPr>
            <w:tcW w:w="1168" w:type="dxa"/>
            <w:tcBorders>
              <w:top w:val="single" w:sz="6" w:space="0" w:color="auto"/>
              <w:left w:val="double" w:sz="6" w:space="0" w:color="auto"/>
            </w:tcBorders>
            <w:shd w:val="clear" w:color="auto" w:fill="auto"/>
            <w:vAlign w:val="center"/>
          </w:tcPr>
          <w:p w:rsidR="0019180C" w:rsidRDefault="0019180C">
            <w:pPr>
              <w:suppressAutoHyphens/>
              <w:jc w:val="center"/>
              <w:rPr>
                <w:spacing w:val="-3"/>
              </w:rPr>
            </w:pPr>
            <w:r>
              <w:rPr>
                <w:spacing w:val="-3"/>
              </w:rPr>
              <w:lastRenderedPageBreak/>
              <w:t>CO</w:t>
            </w:r>
          </w:p>
        </w:tc>
        <w:tc>
          <w:tcPr>
            <w:tcW w:w="1290" w:type="dxa"/>
            <w:tcBorders>
              <w:top w:val="single" w:sz="6" w:space="0" w:color="auto"/>
              <w:left w:val="single" w:sz="6" w:space="0" w:color="auto"/>
            </w:tcBorders>
            <w:shd w:val="clear" w:color="auto" w:fill="auto"/>
            <w:vAlign w:val="center"/>
          </w:tcPr>
          <w:p w:rsidR="0019180C" w:rsidRDefault="0019180C">
            <w:pPr>
              <w:suppressAutoHyphens/>
              <w:jc w:val="center"/>
              <w:rPr>
                <w:spacing w:val="-3"/>
              </w:rPr>
            </w:pPr>
            <w:r>
              <w:rPr>
                <w:spacing w:val="-3"/>
              </w:rPr>
              <w:t>730</w:t>
            </w:r>
          </w:p>
        </w:tc>
        <w:tc>
          <w:tcPr>
            <w:tcW w:w="1291" w:type="dxa"/>
            <w:tcBorders>
              <w:top w:val="single" w:sz="6" w:space="0" w:color="auto"/>
              <w:left w:val="single" w:sz="6" w:space="0" w:color="auto"/>
              <w:right w:val="single" w:sz="6" w:space="0" w:color="auto"/>
            </w:tcBorders>
            <w:shd w:val="clear" w:color="auto" w:fill="auto"/>
            <w:vAlign w:val="center"/>
          </w:tcPr>
          <w:p w:rsidR="0019180C" w:rsidRDefault="0019180C">
            <w:pPr>
              <w:suppressAutoHyphens/>
              <w:jc w:val="center"/>
              <w:rPr>
                <w:spacing w:val="-3"/>
              </w:rPr>
            </w:pPr>
            <w:r>
              <w:rPr>
                <w:spacing w:val="-3"/>
              </w:rPr>
              <w:t>0</w:t>
            </w:r>
          </w:p>
        </w:tc>
        <w:tc>
          <w:tcPr>
            <w:tcW w:w="1291" w:type="dxa"/>
            <w:tcBorders>
              <w:top w:val="single" w:sz="6" w:space="0" w:color="auto"/>
              <w:left w:val="single" w:sz="6" w:space="0" w:color="auto"/>
            </w:tcBorders>
            <w:shd w:val="clear" w:color="auto" w:fill="auto"/>
            <w:vAlign w:val="center"/>
          </w:tcPr>
          <w:p w:rsidR="0019180C" w:rsidRDefault="0019180C">
            <w:pPr>
              <w:suppressAutoHyphens/>
              <w:jc w:val="center"/>
              <w:rPr>
                <w:spacing w:val="-3"/>
              </w:rPr>
            </w:pPr>
            <w:r>
              <w:rPr>
                <w:spacing w:val="-3"/>
              </w:rPr>
              <w:fldChar w:fldCharType="begin"/>
            </w:r>
            <w:r>
              <w:rPr>
                <w:spacing w:val="-3"/>
              </w:rPr>
              <w:instrText xml:space="preserve"> =(B6-C6) </w:instrText>
            </w:r>
            <w:r>
              <w:rPr>
                <w:spacing w:val="-3"/>
              </w:rPr>
              <w:fldChar w:fldCharType="separate"/>
            </w:r>
            <w:r>
              <w:rPr>
                <w:noProof/>
                <w:spacing w:val="-3"/>
              </w:rPr>
              <w:t>730</w:t>
            </w:r>
            <w:r>
              <w:rPr>
                <w:spacing w:val="-3"/>
              </w:rPr>
              <w:fldChar w:fldCharType="end"/>
            </w:r>
          </w:p>
        </w:tc>
        <w:tc>
          <w:tcPr>
            <w:tcW w:w="2250" w:type="dxa"/>
            <w:tcBorders>
              <w:top w:val="single" w:sz="6" w:space="0" w:color="auto"/>
              <w:left w:val="single" w:sz="6" w:space="0" w:color="auto"/>
            </w:tcBorders>
            <w:shd w:val="clear" w:color="auto" w:fill="auto"/>
            <w:vAlign w:val="center"/>
          </w:tcPr>
          <w:p w:rsidR="0019180C" w:rsidRDefault="0019180C">
            <w:pPr>
              <w:suppressAutoHyphens/>
              <w:jc w:val="center"/>
              <w:rPr>
                <w:spacing w:val="-3"/>
              </w:rPr>
            </w:pPr>
            <w:r>
              <w:rPr>
                <w:spacing w:val="-3"/>
              </w:rPr>
              <w:t>20,000 lb/year</w:t>
            </w:r>
          </w:p>
        </w:tc>
        <w:tc>
          <w:tcPr>
            <w:tcW w:w="1620" w:type="dxa"/>
            <w:tcBorders>
              <w:top w:val="single" w:sz="6" w:space="0" w:color="auto"/>
              <w:left w:val="single" w:sz="6" w:space="0" w:color="auto"/>
              <w:right w:val="double" w:sz="6" w:space="0" w:color="auto"/>
            </w:tcBorders>
            <w:shd w:val="clear" w:color="auto" w:fill="auto"/>
            <w:vAlign w:val="center"/>
          </w:tcPr>
          <w:p w:rsidR="0019180C" w:rsidRDefault="0019180C">
            <w:pPr>
              <w:suppressAutoHyphens/>
              <w:jc w:val="center"/>
              <w:rPr>
                <w:spacing w:val="-3"/>
              </w:rPr>
            </w:pPr>
            <w:r>
              <w:rPr>
                <w:spacing w:val="-3"/>
              </w:rPr>
              <w:t>No</w:t>
            </w:r>
          </w:p>
        </w:tc>
      </w:tr>
      <w:tr w:rsidR="0019180C" w:rsidTr="005722FE">
        <w:tc>
          <w:tcPr>
            <w:tcW w:w="1168" w:type="dxa"/>
            <w:tcBorders>
              <w:top w:val="single" w:sz="6" w:space="0" w:color="auto"/>
              <w:left w:val="double" w:sz="6" w:space="0" w:color="auto"/>
              <w:bottom w:val="double" w:sz="6" w:space="0" w:color="auto"/>
            </w:tcBorders>
            <w:shd w:val="clear" w:color="auto" w:fill="auto"/>
            <w:vAlign w:val="center"/>
          </w:tcPr>
          <w:p w:rsidR="0019180C" w:rsidRDefault="0019180C">
            <w:pPr>
              <w:suppressAutoHyphens/>
              <w:jc w:val="center"/>
              <w:rPr>
                <w:spacing w:val="-3"/>
              </w:rPr>
            </w:pPr>
            <w:r>
              <w:rPr>
                <w:spacing w:val="-3"/>
              </w:rPr>
              <w:t>VOC</w:t>
            </w:r>
          </w:p>
        </w:tc>
        <w:tc>
          <w:tcPr>
            <w:tcW w:w="1290" w:type="dxa"/>
            <w:tcBorders>
              <w:top w:val="single" w:sz="6" w:space="0" w:color="auto"/>
              <w:left w:val="single" w:sz="6" w:space="0" w:color="auto"/>
              <w:bottom w:val="double" w:sz="6" w:space="0" w:color="auto"/>
            </w:tcBorders>
            <w:shd w:val="clear" w:color="auto" w:fill="auto"/>
            <w:vAlign w:val="center"/>
          </w:tcPr>
          <w:p w:rsidR="0019180C" w:rsidRDefault="0019180C">
            <w:pPr>
              <w:suppressAutoHyphens/>
              <w:jc w:val="center"/>
              <w:rPr>
                <w:spacing w:val="-3"/>
              </w:rPr>
            </w:pPr>
            <w:r>
              <w:rPr>
                <w:spacing w:val="-3"/>
              </w:rPr>
              <w:t>19,966</w:t>
            </w:r>
          </w:p>
        </w:tc>
        <w:tc>
          <w:tcPr>
            <w:tcW w:w="1291" w:type="dxa"/>
            <w:tcBorders>
              <w:top w:val="single" w:sz="6" w:space="0" w:color="auto"/>
              <w:left w:val="single" w:sz="6" w:space="0" w:color="auto"/>
              <w:bottom w:val="double" w:sz="6" w:space="0" w:color="auto"/>
              <w:right w:val="single" w:sz="6" w:space="0" w:color="auto"/>
            </w:tcBorders>
            <w:shd w:val="clear" w:color="auto" w:fill="auto"/>
            <w:vAlign w:val="center"/>
          </w:tcPr>
          <w:p w:rsidR="0019180C" w:rsidRDefault="0019180C">
            <w:pPr>
              <w:suppressAutoHyphens/>
              <w:jc w:val="center"/>
              <w:rPr>
                <w:spacing w:val="-3"/>
              </w:rPr>
            </w:pPr>
            <w:r>
              <w:rPr>
                <w:spacing w:val="-3"/>
              </w:rPr>
              <w:t>0</w:t>
            </w:r>
          </w:p>
        </w:tc>
        <w:tc>
          <w:tcPr>
            <w:tcW w:w="1291" w:type="dxa"/>
            <w:tcBorders>
              <w:top w:val="single" w:sz="6" w:space="0" w:color="auto"/>
              <w:left w:val="single" w:sz="6" w:space="0" w:color="auto"/>
              <w:bottom w:val="double" w:sz="6" w:space="0" w:color="auto"/>
            </w:tcBorders>
            <w:shd w:val="clear" w:color="auto" w:fill="auto"/>
            <w:vAlign w:val="center"/>
          </w:tcPr>
          <w:p w:rsidR="0019180C" w:rsidRDefault="0019180C">
            <w:pPr>
              <w:suppressAutoHyphens/>
              <w:jc w:val="center"/>
              <w:rPr>
                <w:spacing w:val="-3"/>
              </w:rPr>
            </w:pPr>
            <w:r>
              <w:rPr>
                <w:spacing w:val="-3"/>
              </w:rPr>
              <w:fldChar w:fldCharType="begin"/>
            </w:r>
            <w:r>
              <w:rPr>
                <w:spacing w:val="-3"/>
              </w:rPr>
              <w:instrText xml:space="preserve"> =(B7-C7) </w:instrText>
            </w:r>
            <w:r>
              <w:rPr>
                <w:spacing w:val="-3"/>
              </w:rPr>
              <w:fldChar w:fldCharType="separate"/>
            </w:r>
            <w:r>
              <w:rPr>
                <w:noProof/>
                <w:spacing w:val="-3"/>
              </w:rPr>
              <w:t>19,966</w:t>
            </w:r>
            <w:r>
              <w:rPr>
                <w:spacing w:val="-3"/>
              </w:rPr>
              <w:fldChar w:fldCharType="end"/>
            </w:r>
          </w:p>
        </w:tc>
        <w:tc>
          <w:tcPr>
            <w:tcW w:w="2250" w:type="dxa"/>
            <w:tcBorders>
              <w:top w:val="single" w:sz="6" w:space="0" w:color="auto"/>
              <w:left w:val="single" w:sz="6" w:space="0" w:color="auto"/>
              <w:bottom w:val="double" w:sz="6" w:space="0" w:color="auto"/>
            </w:tcBorders>
            <w:shd w:val="clear" w:color="auto" w:fill="auto"/>
            <w:vAlign w:val="center"/>
          </w:tcPr>
          <w:p w:rsidR="0019180C" w:rsidRDefault="0019180C">
            <w:pPr>
              <w:suppressAutoHyphens/>
              <w:jc w:val="center"/>
              <w:rPr>
                <w:spacing w:val="-3"/>
              </w:rPr>
            </w:pPr>
            <w:r>
              <w:rPr>
                <w:spacing w:val="-3"/>
              </w:rPr>
              <w:t>20,000 lb/year</w:t>
            </w:r>
          </w:p>
        </w:tc>
        <w:tc>
          <w:tcPr>
            <w:tcW w:w="1620" w:type="dxa"/>
            <w:tcBorders>
              <w:top w:val="single" w:sz="6" w:space="0" w:color="auto"/>
              <w:left w:val="single" w:sz="6" w:space="0" w:color="auto"/>
              <w:bottom w:val="double" w:sz="6" w:space="0" w:color="auto"/>
              <w:right w:val="double" w:sz="6" w:space="0" w:color="auto"/>
            </w:tcBorders>
            <w:shd w:val="clear" w:color="auto" w:fill="auto"/>
            <w:vAlign w:val="center"/>
          </w:tcPr>
          <w:p w:rsidR="0019180C" w:rsidRDefault="0019180C">
            <w:pPr>
              <w:suppressAutoHyphens/>
              <w:jc w:val="center"/>
              <w:rPr>
                <w:spacing w:val="-3"/>
              </w:rPr>
            </w:pPr>
            <w:r>
              <w:rPr>
                <w:spacing w:val="-3"/>
              </w:rPr>
              <w:t>No</w:t>
            </w:r>
          </w:p>
        </w:tc>
      </w:tr>
    </w:tbl>
    <w:p w:rsidR="0019180C" w:rsidRDefault="0019180C">
      <w:pPr>
        <w:ind w:left="1440"/>
        <w:rPr>
          <w:rFonts w:cs="Arial"/>
          <w:color w:val="000000"/>
          <w:spacing w:val="-3"/>
        </w:rPr>
      </w:pPr>
    </w:p>
    <w:p w:rsidR="0019180C" w:rsidRDefault="0019180C">
      <w:pPr>
        <w:ind w:left="720"/>
      </w:pPr>
      <w:r>
        <w:t>As demonstrated above, the SSIPEs for all pollutants were less than 20,000 lb/year; therefore public noticing for SSIPE purposes is not required.</w:t>
      </w:r>
    </w:p>
    <w:p w:rsidR="0019180C" w:rsidRDefault="0019180C">
      <w:pPr>
        <w:ind w:left="1440"/>
        <w:rPr>
          <w:color w:val="000000"/>
        </w:rPr>
      </w:pPr>
    </w:p>
    <w:p w:rsidR="0019180C" w:rsidRDefault="0019180C">
      <w:pPr>
        <w:keepNext/>
        <w:tabs>
          <w:tab w:val="left" w:pos="2610"/>
        </w:tabs>
        <w:suppressAutoHyphens/>
        <w:ind w:left="1440"/>
        <w:jc w:val="both"/>
        <w:rPr>
          <w:rFonts w:cs="Arial"/>
          <w:color w:val="0000FF"/>
          <w:spacing w:val="-3"/>
        </w:rPr>
      </w:pPr>
      <w:r>
        <w:rPr>
          <w:i/>
          <w:iCs/>
          <w:color w:val="0000FF"/>
          <w:u w:val="single"/>
        </w:rPr>
        <w:t>Example (b)</w:t>
      </w:r>
      <w:r>
        <w:rPr>
          <w:i/>
          <w:iCs/>
          <w:color w:val="0000FF"/>
        </w:rPr>
        <w:t>:</w:t>
      </w:r>
      <w:r>
        <w:rPr>
          <w:i/>
          <w:iCs/>
          <w:color w:val="0000FF"/>
        </w:rPr>
        <w:tab/>
        <w:t>(For a project where the SSIPE &gt; 20,000 lb/year.)</w:t>
      </w:r>
    </w:p>
    <w:tbl>
      <w:tblPr>
        <w:tblW w:w="8910" w:type="dxa"/>
        <w:tblInd w:w="1562" w:type="dxa"/>
        <w:tblLayout w:type="fixed"/>
        <w:tblCellMar>
          <w:left w:w="122" w:type="dxa"/>
          <w:right w:w="122" w:type="dxa"/>
        </w:tblCellMar>
        <w:tblLook w:val="0000" w:firstRow="0" w:lastRow="0" w:firstColumn="0" w:lastColumn="0" w:noHBand="0" w:noVBand="0"/>
      </w:tblPr>
      <w:tblGrid>
        <w:gridCol w:w="1168"/>
        <w:gridCol w:w="1290"/>
        <w:gridCol w:w="1291"/>
        <w:gridCol w:w="1291"/>
        <w:gridCol w:w="2250"/>
        <w:gridCol w:w="1620"/>
      </w:tblGrid>
      <w:tr w:rsidR="0019180C" w:rsidTr="005722FE">
        <w:trPr>
          <w:cantSplit/>
          <w:trHeight w:val="144"/>
        </w:trPr>
        <w:tc>
          <w:tcPr>
            <w:tcW w:w="8910" w:type="dxa"/>
            <w:gridSpan w:val="6"/>
            <w:tcBorders>
              <w:top w:val="double" w:sz="6" w:space="0" w:color="auto"/>
              <w:left w:val="double" w:sz="6" w:space="0" w:color="auto"/>
              <w:right w:val="double" w:sz="6" w:space="0" w:color="auto"/>
            </w:tcBorders>
            <w:shd w:val="clear" w:color="auto" w:fill="auto"/>
          </w:tcPr>
          <w:p w:rsidR="0019180C" w:rsidRDefault="0019180C">
            <w:pPr>
              <w:keepNext/>
              <w:suppressAutoHyphens/>
              <w:jc w:val="both"/>
              <w:rPr>
                <w:b/>
                <w:bCs/>
              </w:rPr>
            </w:pPr>
            <w:r>
              <w:rPr>
                <w:b/>
                <w:bCs/>
              </w:rPr>
              <w:t>Stationary Source Increase in Permitted Emissions [SSIPE] – Public Notice</w:t>
            </w:r>
          </w:p>
        </w:tc>
      </w:tr>
      <w:tr w:rsidR="0019180C" w:rsidTr="005722FE">
        <w:tc>
          <w:tcPr>
            <w:tcW w:w="1168" w:type="dxa"/>
            <w:tcBorders>
              <w:top w:val="double" w:sz="6" w:space="0" w:color="auto"/>
              <w:left w:val="double" w:sz="6" w:space="0" w:color="auto"/>
            </w:tcBorders>
            <w:shd w:val="clear" w:color="auto" w:fill="auto"/>
            <w:vAlign w:val="center"/>
          </w:tcPr>
          <w:p w:rsidR="0019180C" w:rsidRDefault="0019180C">
            <w:pPr>
              <w:keepNext/>
              <w:suppressAutoHyphens/>
              <w:jc w:val="both"/>
              <w:rPr>
                <w:spacing w:val="-3"/>
              </w:rPr>
            </w:pPr>
            <w:r>
              <w:rPr>
                <w:spacing w:val="-3"/>
              </w:rPr>
              <w:t>Pollutant</w:t>
            </w:r>
          </w:p>
        </w:tc>
        <w:tc>
          <w:tcPr>
            <w:tcW w:w="1290" w:type="dxa"/>
            <w:tcBorders>
              <w:top w:val="double" w:sz="6" w:space="0" w:color="auto"/>
              <w:left w:val="single" w:sz="6" w:space="0" w:color="auto"/>
            </w:tcBorders>
            <w:shd w:val="clear" w:color="auto" w:fill="auto"/>
            <w:vAlign w:val="center"/>
          </w:tcPr>
          <w:p w:rsidR="0019180C" w:rsidRDefault="0019180C">
            <w:pPr>
              <w:keepNext/>
              <w:suppressAutoHyphens/>
              <w:jc w:val="both"/>
              <w:rPr>
                <w:spacing w:val="-3"/>
              </w:rPr>
            </w:pPr>
            <w:r>
              <w:rPr>
                <w:spacing w:val="-3"/>
              </w:rPr>
              <w:t>SSPE2 (lb/year)</w:t>
            </w:r>
          </w:p>
        </w:tc>
        <w:tc>
          <w:tcPr>
            <w:tcW w:w="1291" w:type="dxa"/>
            <w:tcBorders>
              <w:top w:val="double" w:sz="6" w:space="0" w:color="auto"/>
              <w:left w:val="single" w:sz="6" w:space="0" w:color="auto"/>
              <w:right w:val="single" w:sz="6" w:space="0" w:color="auto"/>
            </w:tcBorders>
            <w:shd w:val="clear" w:color="auto" w:fill="auto"/>
            <w:vAlign w:val="center"/>
          </w:tcPr>
          <w:p w:rsidR="0019180C" w:rsidRDefault="0019180C">
            <w:pPr>
              <w:keepNext/>
              <w:suppressAutoHyphens/>
              <w:jc w:val="both"/>
              <w:rPr>
                <w:spacing w:val="-3"/>
              </w:rPr>
            </w:pPr>
            <w:r>
              <w:rPr>
                <w:spacing w:val="-3"/>
              </w:rPr>
              <w:t>SSPE1 (lb/year)</w:t>
            </w:r>
          </w:p>
        </w:tc>
        <w:tc>
          <w:tcPr>
            <w:tcW w:w="1291" w:type="dxa"/>
            <w:tcBorders>
              <w:top w:val="double" w:sz="6" w:space="0" w:color="auto"/>
              <w:left w:val="single" w:sz="6" w:space="0" w:color="auto"/>
            </w:tcBorders>
            <w:shd w:val="clear" w:color="auto" w:fill="auto"/>
            <w:vAlign w:val="center"/>
          </w:tcPr>
          <w:p w:rsidR="0019180C" w:rsidRDefault="0019180C">
            <w:pPr>
              <w:keepNext/>
              <w:suppressAutoHyphens/>
              <w:jc w:val="both"/>
              <w:rPr>
                <w:spacing w:val="-3"/>
              </w:rPr>
            </w:pPr>
            <w:r>
              <w:rPr>
                <w:rFonts w:cs="Arial"/>
              </w:rPr>
              <w:t xml:space="preserve">SSIPE </w:t>
            </w:r>
            <w:r>
              <w:rPr>
                <w:spacing w:val="-3"/>
              </w:rPr>
              <w:t>(lb/year)</w:t>
            </w:r>
          </w:p>
        </w:tc>
        <w:tc>
          <w:tcPr>
            <w:tcW w:w="2250" w:type="dxa"/>
            <w:tcBorders>
              <w:top w:val="double" w:sz="6" w:space="0" w:color="auto"/>
              <w:left w:val="single" w:sz="6" w:space="0" w:color="auto"/>
            </w:tcBorders>
            <w:shd w:val="clear" w:color="auto" w:fill="auto"/>
            <w:vAlign w:val="center"/>
          </w:tcPr>
          <w:p w:rsidR="0019180C" w:rsidRDefault="0019180C">
            <w:pPr>
              <w:keepNext/>
              <w:suppressAutoHyphens/>
              <w:jc w:val="both"/>
              <w:rPr>
                <w:spacing w:val="-3"/>
              </w:rPr>
            </w:pPr>
            <w:r>
              <w:rPr>
                <w:spacing w:val="-3"/>
              </w:rPr>
              <w:t>SSIPE Public Notice Threshold</w:t>
            </w:r>
          </w:p>
        </w:tc>
        <w:tc>
          <w:tcPr>
            <w:tcW w:w="1620" w:type="dxa"/>
            <w:tcBorders>
              <w:top w:val="double" w:sz="6" w:space="0" w:color="auto"/>
              <w:left w:val="single" w:sz="6" w:space="0" w:color="auto"/>
              <w:right w:val="double" w:sz="6" w:space="0" w:color="auto"/>
            </w:tcBorders>
            <w:shd w:val="clear" w:color="auto" w:fill="auto"/>
            <w:vAlign w:val="center"/>
          </w:tcPr>
          <w:p w:rsidR="0019180C" w:rsidRDefault="0019180C">
            <w:pPr>
              <w:keepNext/>
              <w:suppressAutoHyphens/>
              <w:jc w:val="both"/>
              <w:rPr>
                <w:spacing w:val="-3"/>
              </w:rPr>
            </w:pPr>
            <w:r>
              <w:rPr>
                <w:spacing w:val="-3"/>
              </w:rPr>
              <w:t>Public Notice Required?</w:t>
            </w:r>
          </w:p>
        </w:tc>
      </w:tr>
      <w:tr w:rsidR="0019180C" w:rsidTr="005722FE">
        <w:tc>
          <w:tcPr>
            <w:tcW w:w="1168" w:type="dxa"/>
            <w:tcBorders>
              <w:top w:val="double" w:sz="6" w:space="0" w:color="auto"/>
              <w:left w:val="double" w:sz="6" w:space="0" w:color="auto"/>
            </w:tcBorders>
            <w:shd w:val="clear" w:color="auto" w:fill="auto"/>
            <w:vAlign w:val="center"/>
          </w:tcPr>
          <w:p w:rsidR="0019180C" w:rsidRDefault="0019180C">
            <w:pPr>
              <w:keepNext/>
              <w:suppressAutoHyphens/>
              <w:jc w:val="both"/>
              <w:rPr>
                <w:spacing w:val="-3"/>
              </w:rPr>
            </w:pPr>
            <w:r>
              <w:rPr>
                <w:noProof/>
                <w:spacing w:val="-3"/>
              </w:rPr>
              <w:t>NO</w:t>
            </w:r>
            <w:r>
              <w:rPr>
                <w:noProof/>
                <w:spacing w:val="-3"/>
                <w:vertAlign w:val="subscript"/>
              </w:rPr>
              <w:t>x</w:t>
            </w:r>
          </w:p>
        </w:tc>
        <w:tc>
          <w:tcPr>
            <w:tcW w:w="1290" w:type="dxa"/>
            <w:tcBorders>
              <w:top w:val="double" w:sz="6" w:space="0" w:color="auto"/>
              <w:left w:val="single" w:sz="6" w:space="0" w:color="auto"/>
            </w:tcBorders>
            <w:shd w:val="clear" w:color="auto" w:fill="auto"/>
            <w:vAlign w:val="center"/>
          </w:tcPr>
          <w:p w:rsidR="0019180C" w:rsidRDefault="0019180C">
            <w:pPr>
              <w:keepNext/>
              <w:suppressAutoHyphens/>
              <w:jc w:val="both"/>
              <w:rPr>
                <w:spacing w:val="-3"/>
              </w:rPr>
            </w:pPr>
            <w:r>
              <w:rPr>
                <w:spacing w:val="-3"/>
              </w:rPr>
              <w:t>35,453</w:t>
            </w:r>
          </w:p>
        </w:tc>
        <w:tc>
          <w:tcPr>
            <w:tcW w:w="1291" w:type="dxa"/>
            <w:tcBorders>
              <w:top w:val="double" w:sz="6" w:space="0" w:color="auto"/>
              <w:left w:val="single" w:sz="6" w:space="0" w:color="auto"/>
              <w:right w:val="single" w:sz="6" w:space="0" w:color="auto"/>
            </w:tcBorders>
            <w:shd w:val="clear" w:color="auto" w:fill="auto"/>
            <w:vAlign w:val="center"/>
          </w:tcPr>
          <w:p w:rsidR="0019180C" w:rsidRDefault="008F2A45" w:rsidP="008F2A45">
            <w:pPr>
              <w:keepNext/>
              <w:suppressAutoHyphens/>
              <w:jc w:val="both"/>
              <w:rPr>
                <w:spacing w:val="-3"/>
              </w:rPr>
            </w:pPr>
            <w:r>
              <w:rPr>
                <w:spacing w:val="-3"/>
              </w:rPr>
              <w:t>11,267</w:t>
            </w:r>
          </w:p>
        </w:tc>
        <w:tc>
          <w:tcPr>
            <w:tcW w:w="1291" w:type="dxa"/>
            <w:tcBorders>
              <w:top w:val="double" w:sz="6" w:space="0" w:color="auto"/>
              <w:left w:val="single" w:sz="6" w:space="0" w:color="auto"/>
            </w:tcBorders>
            <w:shd w:val="clear" w:color="auto" w:fill="auto"/>
            <w:vAlign w:val="center"/>
          </w:tcPr>
          <w:p w:rsidR="0019180C" w:rsidRDefault="0019180C">
            <w:pPr>
              <w:keepNext/>
              <w:suppressAutoHyphens/>
              <w:jc w:val="both"/>
              <w:rPr>
                <w:spacing w:val="-3"/>
              </w:rPr>
            </w:pPr>
            <w:r>
              <w:rPr>
                <w:spacing w:val="-3"/>
              </w:rPr>
              <w:fldChar w:fldCharType="begin"/>
            </w:r>
            <w:r>
              <w:rPr>
                <w:spacing w:val="-3"/>
              </w:rPr>
              <w:instrText xml:space="preserve"> =(B3-C3) </w:instrText>
            </w:r>
            <w:r>
              <w:rPr>
                <w:spacing w:val="-3"/>
              </w:rPr>
              <w:fldChar w:fldCharType="separate"/>
            </w:r>
            <w:r>
              <w:rPr>
                <w:noProof/>
                <w:spacing w:val="-3"/>
              </w:rPr>
              <w:t>24,186</w:t>
            </w:r>
            <w:r>
              <w:rPr>
                <w:spacing w:val="-3"/>
              </w:rPr>
              <w:fldChar w:fldCharType="end"/>
            </w:r>
          </w:p>
        </w:tc>
        <w:tc>
          <w:tcPr>
            <w:tcW w:w="2250" w:type="dxa"/>
            <w:tcBorders>
              <w:top w:val="double" w:sz="6" w:space="0" w:color="auto"/>
              <w:left w:val="single" w:sz="6" w:space="0" w:color="auto"/>
            </w:tcBorders>
            <w:shd w:val="clear" w:color="auto" w:fill="auto"/>
            <w:vAlign w:val="center"/>
          </w:tcPr>
          <w:p w:rsidR="0019180C" w:rsidRDefault="0019180C">
            <w:pPr>
              <w:keepNext/>
              <w:suppressAutoHyphens/>
              <w:jc w:val="both"/>
              <w:rPr>
                <w:spacing w:val="-3"/>
              </w:rPr>
            </w:pPr>
            <w:r>
              <w:rPr>
                <w:spacing w:val="-3"/>
              </w:rPr>
              <w:t>20,000 lb/year</w:t>
            </w:r>
          </w:p>
        </w:tc>
        <w:tc>
          <w:tcPr>
            <w:tcW w:w="1620" w:type="dxa"/>
            <w:tcBorders>
              <w:top w:val="double" w:sz="6" w:space="0" w:color="auto"/>
              <w:left w:val="single" w:sz="6" w:space="0" w:color="auto"/>
              <w:right w:val="double" w:sz="6" w:space="0" w:color="auto"/>
            </w:tcBorders>
            <w:shd w:val="clear" w:color="auto" w:fill="auto"/>
            <w:vAlign w:val="center"/>
          </w:tcPr>
          <w:p w:rsidR="0019180C" w:rsidRDefault="0019180C">
            <w:pPr>
              <w:keepNext/>
              <w:suppressAutoHyphens/>
              <w:jc w:val="both"/>
              <w:rPr>
                <w:spacing w:val="-3"/>
              </w:rPr>
            </w:pPr>
            <w:r>
              <w:rPr>
                <w:spacing w:val="-3"/>
              </w:rPr>
              <w:t>Yes</w:t>
            </w:r>
          </w:p>
        </w:tc>
      </w:tr>
      <w:tr w:rsidR="0019180C" w:rsidTr="005722FE">
        <w:tc>
          <w:tcPr>
            <w:tcW w:w="1168" w:type="dxa"/>
            <w:tcBorders>
              <w:top w:val="single" w:sz="6" w:space="0" w:color="auto"/>
              <w:left w:val="double" w:sz="6" w:space="0" w:color="auto"/>
            </w:tcBorders>
            <w:shd w:val="clear" w:color="auto" w:fill="auto"/>
            <w:vAlign w:val="center"/>
          </w:tcPr>
          <w:p w:rsidR="0019180C" w:rsidRDefault="0019180C">
            <w:pPr>
              <w:keepNext/>
              <w:suppressAutoHyphens/>
              <w:jc w:val="both"/>
              <w:rPr>
                <w:spacing w:val="-3"/>
              </w:rPr>
            </w:pPr>
            <w:r>
              <w:rPr>
                <w:noProof/>
                <w:spacing w:val="-3"/>
              </w:rPr>
              <w:t>SO</w:t>
            </w:r>
            <w:r>
              <w:rPr>
                <w:noProof/>
                <w:spacing w:val="-3"/>
                <w:vertAlign w:val="subscript"/>
              </w:rPr>
              <w:t>x</w:t>
            </w:r>
          </w:p>
        </w:tc>
        <w:tc>
          <w:tcPr>
            <w:tcW w:w="1290" w:type="dxa"/>
            <w:tcBorders>
              <w:top w:val="single" w:sz="6" w:space="0" w:color="auto"/>
              <w:left w:val="single" w:sz="6" w:space="0" w:color="auto"/>
            </w:tcBorders>
            <w:shd w:val="clear" w:color="auto" w:fill="auto"/>
            <w:vAlign w:val="center"/>
          </w:tcPr>
          <w:p w:rsidR="0019180C" w:rsidRDefault="0019180C">
            <w:pPr>
              <w:keepNext/>
              <w:suppressAutoHyphens/>
              <w:jc w:val="both"/>
              <w:rPr>
                <w:spacing w:val="-3"/>
              </w:rPr>
            </w:pPr>
            <w:r>
              <w:rPr>
                <w:spacing w:val="-3"/>
              </w:rPr>
              <w:t>6,482</w:t>
            </w:r>
          </w:p>
        </w:tc>
        <w:tc>
          <w:tcPr>
            <w:tcW w:w="1291" w:type="dxa"/>
            <w:tcBorders>
              <w:top w:val="single" w:sz="6" w:space="0" w:color="auto"/>
              <w:left w:val="single" w:sz="6" w:space="0" w:color="auto"/>
              <w:right w:val="single" w:sz="6" w:space="0" w:color="auto"/>
            </w:tcBorders>
            <w:shd w:val="clear" w:color="auto" w:fill="auto"/>
            <w:vAlign w:val="center"/>
          </w:tcPr>
          <w:p w:rsidR="0019180C" w:rsidRDefault="0019180C">
            <w:pPr>
              <w:keepNext/>
              <w:suppressAutoHyphens/>
              <w:jc w:val="both"/>
              <w:rPr>
                <w:spacing w:val="-3"/>
              </w:rPr>
            </w:pPr>
            <w:r>
              <w:rPr>
                <w:spacing w:val="-3"/>
              </w:rPr>
              <w:t>4,533</w:t>
            </w:r>
          </w:p>
        </w:tc>
        <w:tc>
          <w:tcPr>
            <w:tcW w:w="1291" w:type="dxa"/>
            <w:tcBorders>
              <w:top w:val="single" w:sz="6" w:space="0" w:color="auto"/>
              <w:left w:val="single" w:sz="6" w:space="0" w:color="auto"/>
            </w:tcBorders>
            <w:shd w:val="clear" w:color="auto" w:fill="auto"/>
            <w:vAlign w:val="center"/>
          </w:tcPr>
          <w:p w:rsidR="0019180C" w:rsidRDefault="0019180C">
            <w:pPr>
              <w:keepNext/>
              <w:suppressAutoHyphens/>
              <w:jc w:val="both"/>
              <w:rPr>
                <w:spacing w:val="-3"/>
              </w:rPr>
            </w:pPr>
            <w:r>
              <w:rPr>
                <w:spacing w:val="-3"/>
              </w:rPr>
              <w:fldChar w:fldCharType="begin"/>
            </w:r>
            <w:r>
              <w:rPr>
                <w:spacing w:val="-3"/>
              </w:rPr>
              <w:instrText xml:space="preserve"> =(B4-C4) </w:instrText>
            </w:r>
            <w:r>
              <w:rPr>
                <w:spacing w:val="-3"/>
              </w:rPr>
              <w:fldChar w:fldCharType="separate"/>
            </w:r>
            <w:r>
              <w:rPr>
                <w:noProof/>
                <w:spacing w:val="-3"/>
              </w:rPr>
              <w:t>1,949</w:t>
            </w:r>
            <w:r>
              <w:rPr>
                <w:spacing w:val="-3"/>
              </w:rPr>
              <w:fldChar w:fldCharType="end"/>
            </w:r>
          </w:p>
        </w:tc>
        <w:tc>
          <w:tcPr>
            <w:tcW w:w="2250" w:type="dxa"/>
            <w:tcBorders>
              <w:top w:val="single" w:sz="6" w:space="0" w:color="auto"/>
              <w:left w:val="single" w:sz="6" w:space="0" w:color="auto"/>
            </w:tcBorders>
            <w:shd w:val="clear" w:color="auto" w:fill="auto"/>
            <w:vAlign w:val="center"/>
          </w:tcPr>
          <w:p w:rsidR="0019180C" w:rsidRDefault="0019180C">
            <w:pPr>
              <w:keepNext/>
              <w:suppressAutoHyphens/>
              <w:jc w:val="both"/>
              <w:rPr>
                <w:spacing w:val="-3"/>
              </w:rPr>
            </w:pPr>
            <w:r>
              <w:rPr>
                <w:spacing w:val="-3"/>
              </w:rPr>
              <w:t>20,000 lb/year</w:t>
            </w:r>
          </w:p>
        </w:tc>
        <w:tc>
          <w:tcPr>
            <w:tcW w:w="1620" w:type="dxa"/>
            <w:tcBorders>
              <w:top w:val="single" w:sz="6" w:space="0" w:color="auto"/>
              <w:left w:val="single" w:sz="6" w:space="0" w:color="auto"/>
              <w:right w:val="double" w:sz="6" w:space="0" w:color="auto"/>
            </w:tcBorders>
            <w:shd w:val="clear" w:color="auto" w:fill="auto"/>
            <w:vAlign w:val="center"/>
          </w:tcPr>
          <w:p w:rsidR="0019180C" w:rsidRDefault="0019180C">
            <w:pPr>
              <w:keepNext/>
              <w:suppressAutoHyphens/>
              <w:jc w:val="both"/>
              <w:rPr>
                <w:spacing w:val="-3"/>
              </w:rPr>
            </w:pPr>
            <w:r>
              <w:rPr>
                <w:spacing w:val="-3"/>
              </w:rPr>
              <w:t>No</w:t>
            </w:r>
          </w:p>
        </w:tc>
      </w:tr>
      <w:tr w:rsidR="0019180C" w:rsidTr="005722FE">
        <w:tc>
          <w:tcPr>
            <w:tcW w:w="1168" w:type="dxa"/>
            <w:tcBorders>
              <w:top w:val="single" w:sz="6" w:space="0" w:color="auto"/>
              <w:left w:val="double" w:sz="6" w:space="0" w:color="auto"/>
            </w:tcBorders>
            <w:shd w:val="clear" w:color="auto" w:fill="auto"/>
            <w:vAlign w:val="center"/>
          </w:tcPr>
          <w:p w:rsidR="0019180C" w:rsidRDefault="0019180C">
            <w:pPr>
              <w:keepNext/>
              <w:suppressAutoHyphens/>
              <w:jc w:val="both"/>
              <w:rPr>
                <w:spacing w:val="-3"/>
              </w:rPr>
            </w:pPr>
            <w:r>
              <w:rPr>
                <w:spacing w:val="-3"/>
              </w:rPr>
              <w:t>PM</w:t>
            </w:r>
            <w:r>
              <w:rPr>
                <w:spacing w:val="-3"/>
                <w:vertAlign w:val="subscript"/>
              </w:rPr>
              <w:t>10</w:t>
            </w:r>
          </w:p>
        </w:tc>
        <w:tc>
          <w:tcPr>
            <w:tcW w:w="1290" w:type="dxa"/>
            <w:tcBorders>
              <w:top w:val="single" w:sz="6" w:space="0" w:color="auto"/>
              <w:left w:val="single" w:sz="6" w:space="0" w:color="auto"/>
            </w:tcBorders>
            <w:shd w:val="clear" w:color="auto" w:fill="auto"/>
            <w:vAlign w:val="center"/>
          </w:tcPr>
          <w:p w:rsidR="0019180C" w:rsidRDefault="0019180C">
            <w:pPr>
              <w:keepNext/>
              <w:suppressAutoHyphens/>
              <w:jc w:val="both"/>
              <w:rPr>
                <w:spacing w:val="-3"/>
              </w:rPr>
            </w:pPr>
            <w:r>
              <w:rPr>
                <w:spacing w:val="-3"/>
              </w:rPr>
              <w:t>8,438</w:t>
            </w:r>
          </w:p>
        </w:tc>
        <w:tc>
          <w:tcPr>
            <w:tcW w:w="1291" w:type="dxa"/>
            <w:tcBorders>
              <w:top w:val="single" w:sz="6" w:space="0" w:color="auto"/>
              <w:left w:val="single" w:sz="6" w:space="0" w:color="auto"/>
              <w:right w:val="single" w:sz="6" w:space="0" w:color="auto"/>
            </w:tcBorders>
            <w:shd w:val="clear" w:color="auto" w:fill="auto"/>
            <w:vAlign w:val="center"/>
          </w:tcPr>
          <w:p w:rsidR="0019180C" w:rsidRDefault="0019180C">
            <w:pPr>
              <w:keepNext/>
              <w:suppressAutoHyphens/>
              <w:jc w:val="both"/>
              <w:rPr>
                <w:spacing w:val="-3"/>
              </w:rPr>
            </w:pPr>
            <w:r>
              <w:rPr>
                <w:spacing w:val="-3"/>
              </w:rPr>
              <w:t>5,971</w:t>
            </w:r>
          </w:p>
        </w:tc>
        <w:tc>
          <w:tcPr>
            <w:tcW w:w="1291" w:type="dxa"/>
            <w:tcBorders>
              <w:top w:val="single" w:sz="6" w:space="0" w:color="auto"/>
              <w:left w:val="single" w:sz="6" w:space="0" w:color="auto"/>
            </w:tcBorders>
            <w:shd w:val="clear" w:color="auto" w:fill="auto"/>
            <w:vAlign w:val="center"/>
          </w:tcPr>
          <w:p w:rsidR="0019180C" w:rsidRDefault="0019180C">
            <w:pPr>
              <w:keepNext/>
              <w:suppressAutoHyphens/>
              <w:jc w:val="both"/>
              <w:rPr>
                <w:spacing w:val="-3"/>
              </w:rPr>
            </w:pPr>
            <w:r>
              <w:rPr>
                <w:spacing w:val="-3"/>
              </w:rPr>
              <w:fldChar w:fldCharType="begin"/>
            </w:r>
            <w:r>
              <w:rPr>
                <w:spacing w:val="-3"/>
              </w:rPr>
              <w:instrText xml:space="preserve"> =(B5-C5) </w:instrText>
            </w:r>
            <w:r>
              <w:rPr>
                <w:spacing w:val="-3"/>
              </w:rPr>
              <w:fldChar w:fldCharType="separate"/>
            </w:r>
            <w:r>
              <w:rPr>
                <w:noProof/>
                <w:spacing w:val="-3"/>
              </w:rPr>
              <w:t>2,467</w:t>
            </w:r>
            <w:r>
              <w:rPr>
                <w:spacing w:val="-3"/>
              </w:rPr>
              <w:fldChar w:fldCharType="end"/>
            </w:r>
          </w:p>
        </w:tc>
        <w:tc>
          <w:tcPr>
            <w:tcW w:w="2250" w:type="dxa"/>
            <w:tcBorders>
              <w:top w:val="single" w:sz="6" w:space="0" w:color="auto"/>
              <w:left w:val="single" w:sz="6" w:space="0" w:color="auto"/>
            </w:tcBorders>
            <w:shd w:val="clear" w:color="auto" w:fill="auto"/>
            <w:vAlign w:val="center"/>
          </w:tcPr>
          <w:p w:rsidR="0019180C" w:rsidRDefault="0019180C">
            <w:pPr>
              <w:keepNext/>
              <w:suppressAutoHyphens/>
              <w:jc w:val="both"/>
              <w:rPr>
                <w:spacing w:val="-3"/>
              </w:rPr>
            </w:pPr>
            <w:r>
              <w:rPr>
                <w:spacing w:val="-3"/>
              </w:rPr>
              <w:t>20,000 lb/year</w:t>
            </w:r>
          </w:p>
        </w:tc>
        <w:tc>
          <w:tcPr>
            <w:tcW w:w="1620" w:type="dxa"/>
            <w:tcBorders>
              <w:top w:val="single" w:sz="6" w:space="0" w:color="auto"/>
              <w:left w:val="single" w:sz="6" w:space="0" w:color="auto"/>
              <w:right w:val="double" w:sz="6" w:space="0" w:color="auto"/>
            </w:tcBorders>
            <w:shd w:val="clear" w:color="auto" w:fill="auto"/>
            <w:vAlign w:val="center"/>
          </w:tcPr>
          <w:p w:rsidR="0019180C" w:rsidRDefault="0019180C">
            <w:pPr>
              <w:keepNext/>
              <w:suppressAutoHyphens/>
              <w:jc w:val="both"/>
              <w:rPr>
                <w:spacing w:val="-3"/>
              </w:rPr>
            </w:pPr>
            <w:r>
              <w:rPr>
                <w:spacing w:val="-3"/>
              </w:rPr>
              <w:t>No</w:t>
            </w:r>
          </w:p>
        </w:tc>
      </w:tr>
      <w:tr w:rsidR="0019180C" w:rsidTr="005722FE">
        <w:tc>
          <w:tcPr>
            <w:tcW w:w="1168" w:type="dxa"/>
            <w:tcBorders>
              <w:top w:val="single" w:sz="6" w:space="0" w:color="auto"/>
              <w:left w:val="double" w:sz="6" w:space="0" w:color="auto"/>
            </w:tcBorders>
            <w:shd w:val="clear" w:color="auto" w:fill="auto"/>
            <w:vAlign w:val="center"/>
          </w:tcPr>
          <w:p w:rsidR="0019180C" w:rsidRDefault="0019180C">
            <w:pPr>
              <w:keepNext/>
              <w:suppressAutoHyphens/>
              <w:jc w:val="both"/>
              <w:rPr>
                <w:spacing w:val="-3"/>
              </w:rPr>
            </w:pPr>
            <w:r>
              <w:rPr>
                <w:spacing w:val="-3"/>
              </w:rPr>
              <w:t>CO</w:t>
            </w:r>
          </w:p>
        </w:tc>
        <w:tc>
          <w:tcPr>
            <w:tcW w:w="1290" w:type="dxa"/>
            <w:tcBorders>
              <w:top w:val="single" w:sz="6" w:space="0" w:color="auto"/>
              <w:left w:val="single" w:sz="6" w:space="0" w:color="auto"/>
            </w:tcBorders>
            <w:shd w:val="clear" w:color="auto" w:fill="auto"/>
            <w:vAlign w:val="center"/>
          </w:tcPr>
          <w:p w:rsidR="0019180C" w:rsidRDefault="0019180C">
            <w:pPr>
              <w:keepNext/>
              <w:suppressAutoHyphens/>
              <w:jc w:val="both"/>
              <w:rPr>
                <w:spacing w:val="-3"/>
              </w:rPr>
            </w:pPr>
            <w:r>
              <w:rPr>
                <w:spacing w:val="-3"/>
              </w:rPr>
              <w:t>42,080</w:t>
            </w:r>
          </w:p>
        </w:tc>
        <w:tc>
          <w:tcPr>
            <w:tcW w:w="1291" w:type="dxa"/>
            <w:tcBorders>
              <w:top w:val="single" w:sz="6" w:space="0" w:color="auto"/>
              <w:left w:val="single" w:sz="6" w:space="0" w:color="auto"/>
              <w:right w:val="single" w:sz="6" w:space="0" w:color="auto"/>
            </w:tcBorders>
            <w:shd w:val="clear" w:color="auto" w:fill="auto"/>
            <w:vAlign w:val="center"/>
          </w:tcPr>
          <w:p w:rsidR="0019180C" w:rsidRDefault="0019180C">
            <w:pPr>
              <w:keepNext/>
              <w:suppressAutoHyphens/>
              <w:jc w:val="both"/>
              <w:rPr>
                <w:spacing w:val="-3"/>
              </w:rPr>
            </w:pPr>
            <w:r>
              <w:rPr>
                <w:spacing w:val="-3"/>
              </w:rPr>
              <w:t>21,956</w:t>
            </w:r>
          </w:p>
        </w:tc>
        <w:tc>
          <w:tcPr>
            <w:tcW w:w="1291" w:type="dxa"/>
            <w:tcBorders>
              <w:top w:val="single" w:sz="6" w:space="0" w:color="auto"/>
              <w:left w:val="single" w:sz="6" w:space="0" w:color="auto"/>
            </w:tcBorders>
            <w:shd w:val="clear" w:color="auto" w:fill="auto"/>
            <w:vAlign w:val="center"/>
          </w:tcPr>
          <w:p w:rsidR="0019180C" w:rsidRDefault="0019180C">
            <w:pPr>
              <w:keepNext/>
              <w:suppressAutoHyphens/>
              <w:jc w:val="both"/>
              <w:rPr>
                <w:spacing w:val="-3"/>
              </w:rPr>
            </w:pPr>
            <w:r>
              <w:rPr>
                <w:spacing w:val="-3"/>
              </w:rPr>
              <w:fldChar w:fldCharType="begin"/>
            </w:r>
            <w:r>
              <w:rPr>
                <w:spacing w:val="-3"/>
              </w:rPr>
              <w:instrText xml:space="preserve"> =(B6-C6) </w:instrText>
            </w:r>
            <w:r>
              <w:rPr>
                <w:spacing w:val="-3"/>
              </w:rPr>
              <w:fldChar w:fldCharType="separate"/>
            </w:r>
            <w:r>
              <w:rPr>
                <w:noProof/>
                <w:spacing w:val="-3"/>
              </w:rPr>
              <w:t>20,124</w:t>
            </w:r>
            <w:r>
              <w:rPr>
                <w:spacing w:val="-3"/>
              </w:rPr>
              <w:fldChar w:fldCharType="end"/>
            </w:r>
          </w:p>
        </w:tc>
        <w:tc>
          <w:tcPr>
            <w:tcW w:w="2250" w:type="dxa"/>
            <w:tcBorders>
              <w:top w:val="single" w:sz="6" w:space="0" w:color="auto"/>
              <w:left w:val="single" w:sz="6" w:space="0" w:color="auto"/>
            </w:tcBorders>
            <w:shd w:val="clear" w:color="auto" w:fill="auto"/>
            <w:vAlign w:val="center"/>
          </w:tcPr>
          <w:p w:rsidR="0019180C" w:rsidRDefault="0019180C">
            <w:pPr>
              <w:keepNext/>
              <w:suppressAutoHyphens/>
              <w:jc w:val="both"/>
              <w:rPr>
                <w:spacing w:val="-3"/>
              </w:rPr>
            </w:pPr>
            <w:r>
              <w:rPr>
                <w:spacing w:val="-3"/>
              </w:rPr>
              <w:t>20,000 lb/year</w:t>
            </w:r>
          </w:p>
        </w:tc>
        <w:tc>
          <w:tcPr>
            <w:tcW w:w="1620" w:type="dxa"/>
            <w:tcBorders>
              <w:top w:val="single" w:sz="6" w:space="0" w:color="auto"/>
              <w:left w:val="single" w:sz="6" w:space="0" w:color="auto"/>
              <w:right w:val="double" w:sz="6" w:space="0" w:color="auto"/>
            </w:tcBorders>
            <w:shd w:val="clear" w:color="auto" w:fill="auto"/>
            <w:vAlign w:val="center"/>
          </w:tcPr>
          <w:p w:rsidR="0019180C" w:rsidRDefault="0019180C">
            <w:pPr>
              <w:keepNext/>
              <w:suppressAutoHyphens/>
              <w:jc w:val="both"/>
              <w:rPr>
                <w:spacing w:val="-3"/>
              </w:rPr>
            </w:pPr>
            <w:r>
              <w:rPr>
                <w:spacing w:val="-3"/>
              </w:rPr>
              <w:t>Yes</w:t>
            </w:r>
          </w:p>
        </w:tc>
      </w:tr>
      <w:tr w:rsidR="0019180C" w:rsidTr="005722FE">
        <w:tc>
          <w:tcPr>
            <w:tcW w:w="1168" w:type="dxa"/>
            <w:tcBorders>
              <w:top w:val="single" w:sz="6" w:space="0" w:color="auto"/>
              <w:left w:val="double" w:sz="6" w:space="0" w:color="auto"/>
              <w:bottom w:val="double" w:sz="6" w:space="0" w:color="auto"/>
            </w:tcBorders>
            <w:shd w:val="clear" w:color="auto" w:fill="auto"/>
            <w:vAlign w:val="center"/>
          </w:tcPr>
          <w:p w:rsidR="0019180C" w:rsidRDefault="0019180C">
            <w:pPr>
              <w:keepNext/>
              <w:suppressAutoHyphens/>
              <w:jc w:val="both"/>
              <w:rPr>
                <w:spacing w:val="-3"/>
              </w:rPr>
            </w:pPr>
            <w:r>
              <w:rPr>
                <w:spacing w:val="-3"/>
              </w:rPr>
              <w:t>VOC</w:t>
            </w:r>
          </w:p>
        </w:tc>
        <w:tc>
          <w:tcPr>
            <w:tcW w:w="1290" w:type="dxa"/>
            <w:tcBorders>
              <w:top w:val="single" w:sz="6" w:space="0" w:color="auto"/>
              <w:left w:val="single" w:sz="6" w:space="0" w:color="auto"/>
              <w:bottom w:val="double" w:sz="6" w:space="0" w:color="auto"/>
            </w:tcBorders>
            <w:shd w:val="clear" w:color="auto" w:fill="auto"/>
            <w:vAlign w:val="center"/>
          </w:tcPr>
          <w:p w:rsidR="0019180C" w:rsidRDefault="0019180C">
            <w:pPr>
              <w:keepNext/>
              <w:suppressAutoHyphens/>
              <w:jc w:val="both"/>
              <w:rPr>
                <w:spacing w:val="-3"/>
              </w:rPr>
            </w:pPr>
            <w:r>
              <w:rPr>
                <w:spacing w:val="-3"/>
              </w:rPr>
              <w:t>29,008</w:t>
            </w:r>
          </w:p>
        </w:tc>
        <w:tc>
          <w:tcPr>
            <w:tcW w:w="1291" w:type="dxa"/>
            <w:tcBorders>
              <w:top w:val="single" w:sz="6" w:space="0" w:color="auto"/>
              <w:left w:val="single" w:sz="6" w:space="0" w:color="auto"/>
              <w:bottom w:val="double" w:sz="6" w:space="0" w:color="auto"/>
              <w:right w:val="single" w:sz="6" w:space="0" w:color="auto"/>
            </w:tcBorders>
            <w:shd w:val="clear" w:color="auto" w:fill="auto"/>
            <w:vAlign w:val="center"/>
          </w:tcPr>
          <w:p w:rsidR="0019180C" w:rsidRDefault="0019180C">
            <w:pPr>
              <w:keepNext/>
              <w:suppressAutoHyphens/>
              <w:jc w:val="both"/>
              <w:rPr>
                <w:spacing w:val="-3"/>
              </w:rPr>
            </w:pPr>
            <w:r>
              <w:rPr>
                <w:spacing w:val="-3"/>
              </w:rPr>
              <w:t>25,942</w:t>
            </w:r>
          </w:p>
        </w:tc>
        <w:tc>
          <w:tcPr>
            <w:tcW w:w="1291" w:type="dxa"/>
            <w:tcBorders>
              <w:top w:val="single" w:sz="6" w:space="0" w:color="auto"/>
              <w:left w:val="single" w:sz="6" w:space="0" w:color="auto"/>
              <w:bottom w:val="double" w:sz="6" w:space="0" w:color="auto"/>
            </w:tcBorders>
            <w:shd w:val="clear" w:color="auto" w:fill="auto"/>
            <w:vAlign w:val="center"/>
          </w:tcPr>
          <w:p w:rsidR="0019180C" w:rsidRDefault="0019180C">
            <w:pPr>
              <w:keepNext/>
              <w:suppressAutoHyphens/>
              <w:jc w:val="both"/>
              <w:rPr>
                <w:spacing w:val="-3"/>
              </w:rPr>
            </w:pPr>
            <w:r>
              <w:rPr>
                <w:spacing w:val="-3"/>
              </w:rPr>
              <w:fldChar w:fldCharType="begin"/>
            </w:r>
            <w:r>
              <w:rPr>
                <w:spacing w:val="-3"/>
              </w:rPr>
              <w:instrText xml:space="preserve"> =(B7-C7) </w:instrText>
            </w:r>
            <w:r>
              <w:rPr>
                <w:spacing w:val="-3"/>
              </w:rPr>
              <w:fldChar w:fldCharType="separate"/>
            </w:r>
            <w:r>
              <w:rPr>
                <w:noProof/>
                <w:spacing w:val="-3"/>
              </w:rPr>
              <w:t>3,066</w:t>
            </w:r>
            <w:r>
              <w:rPr>
                <w:spacing w:val="-3"/>
              </w:rPr>
              <w:fldChar w:fldCharType="end"/>
            </w:r>
          </w:p>
        </w:tc>
        <w:tc>
          <w:tcPr>
            <w:tcW w:w="2250" w:type="dxa"/>
            <w:tcBorders>
              <w:top w:val="single" w:sz="6" w:space="0" w:color="auto"/>
              <w:left w:val="single" w:sz="6" w:space="0" w:color="auto"/>
              <w:bottom w:val="double" w:sz="6" w:space="0" w:color="auto"/>
            </w:tcBorders>
            <w:shd w:val="clear" w:color="auto" w:fill="auto"/>
            <w:vAlign w:val="center"/>
          </w:tcPr>
          <w:p w:rsidR="0019180C" w:rsidRDefault="0019180C">
            <w:pPr>
              <w:keepNext/>
              <w:suppressAutoHyphens/>
              <w:jc w:val="both"/>
              <w:rPr>
                <w:spacing w:val="-3"/>
              </w:rPr>
            </w:pPr>
            <w:r>
              <w:rPr>
                <w:spacing w:val="-3"/>
              </w:rPr>
              <w:t>20,000 lb/year</w:t>
            </w:r>
          </w:p>
        </w:tc>
        <w:tc>
          <w:tcPr>
            <w:tcW w:w="1620" w:type="dxa"/>
            <w:tcBorders>
              <w:top w:val="single" w:sz="6" w:space="0" w:color="auto"/>
              <w:left w:val="single" w:sz="6" w:space="0" w:color="auto"/>
              <w:bottom w:val="double" w:sz="6" w:space="0" w:color="auto"/>
              <w:right w:val="double" w:sz="6" w:space="0" w:color="auto"/>
            </w:tcBorders>
            <w:shd w:val="clear" w:color="auto" w:fill="auto"/>
            <w:vAlign w:val="center"/>
          </w:tcPr>
          <w:p w:rsidR="0019180C" w:rsidRDefault="0019180C">
            <w:pPr>
              <w:keepNext/>
              <w:suppressAutoHyphens/>
              <w:jc w:val="both"/>
              <w:rPr>
                <w:spacing w:val="-3"/>
              </w:rPr>
            </w:pPr>
            <w:r>
              <w:rPr>
                <w:spacing w:val="-3"/>
              </w:rPr>
              <w:t>No</w:t>
            </w:r>
          </w:p>
        </w:tc>
      </w:tr>
    </w:tbl>
    <w:p w:rsidR="0019180C" w:rsidRDefault="0019180C">
      <w:pPr>
        <w:ind w:left="1440"/>
        <w:rPr>
          <w:rFonts w:cs="Arial"/>
          <w:color w:val="000000"/>
          <w:spacing w:val="-3"/>
        </w:rPr>
      </w:pPr>
    </w:p>
    <w:p w:rsidR="0019180C" w:rsidRDefault="0019180C">
      <w:pPr>
        <w:ind w:left="720"/>
      </w:pPr>
      <w:r>
        <w:t>As demonstrated above, the SSIPEs for NO</w:t>
      </w:r>
      <w:r>
        <w:rPr>
          <w:vertAlign w:val="subscript"/>
        </w:rPr>
        <w:t>X</w:t>
      </w:r>
      <w:r>
        <w:t xml:space="preserve"> and CO were greater than 20,000 lb/year; therefore public noticing for SSIPE purposes is required.</w:t>
      </w:r>
    </w:p>
    <w:p w:rsidR="0019180C" w:rsidRDefault="0019180C">
      <w:pPr>
        <w:suppressAutoHyphens/>
        <w:ind w:left="2520"/>
        <w:jc w:val="both"/>
        <w:rPr>
          <w:spacing w:val="-3"/>
        </w:rPr>
      </w:pPr>
    </w:p>
    <w:p w:rsidR="0019180C" w:rsidRDefault="0019180C">
      <w:pPr>
        <w:pStyle w:val="Heading3"/>
        <w:rPr>
          <w:spacing w:val="-3"/>
        </w:rPr>
      </w:pPr>
      <w:r>
        <w:t>Public Notice Action</w:t>
      </w:r>
    </w:p>
    <w:p w:rsidR="0019180C" w:rsidRDefault="0019180C">
      <w:pPr>
        <w:suppressAutoHyphens/>
        <w:ind w:left="1800"/>
        <w:jc w:val="both"/>
        <w:rPr>
          <w:spacing w:val="-3"/>
        </w:rPr>
      </w:pPr>
    </w:p>
    <w:p w:rsidR="0019180C" w:rsidRDefault="0019180C">
      <w:pPr>
        <w:tabs>
          <w:tab w:val="left" w:pos="2250"/>
        </w:tabs>
        <w:autoSpaceDE w:val="0"/>
        <w:autoSpaceDN w:val="0"/>
        <w:adjustRightInd w:val="0"/>
        <w:ind w:left="720"/>
        <w:rPr>
          <w:i/>
          <w:iCs/>
          <w:color w:val="0000FF"/>
        </w:rPr>
      </w:pPr>
      <w:r>
        <w:rPr>
          <w:i/>
          <w:iCs/>
          <w:color w:val="0000FF"/>
          <w:u w:val="single"/>
        </w:rPr>
        <w:t>Example (a)</w:t>
      </w:r>
      <w:r>
        <w:rPr>
          <w:i/>
          <w:iCs/>
          <w:color w:val="0000FF"/>
        </w:rPr>
        <w:t>:</w:t>
      </w:r>
      <w:r>
        <w:rPr>
          <w:i/>
          <w:iCs/>
          <w:color w:val="0000FF"/>
        </w:rPr>
        <w:tab/>
        <w:t>(For a project not requiring public notification.)</w:t>
      </w:r>
    </w:p>
    <w:p w:rsidR="0019180C" w:rsidRDefault="0019180C">
      <w:pPr>
        <w:ind w:left="720"/>
        <w:rPr>
          <w:spacing w:val="-3"/>
        </w:rPr>
      </w:pPr>
      <w:r>
        <w:t>As discussed above, this project will not result in emissions, for any criteria pollutant, which would subject the project to any of the noticing requirements listed above.  Therefore, public notice will not be required for this project.</w:t>
      </w:r>
    </w:p>
    <w:p w:rsidR="0019180C" w:rsidRDefault="0019180C">
      <w:pPr>
        <w:ind w:left="720"/>
        <w:rPr>
          <w:spacing w:val="-3"/>
        </w:rPr>
      </w:pPr>
    </w:p>
    <w:p w:rsidR="0019180C" w:rsidRDefault="0019180C">
      <w:pPr>
        <w:tabs>
          <w:tab w:val="left" w:pos="2250"/>
        </w:tabs>
        <w:autoSpaceDE w:val="0"/>
        <w:autoSpaceDN w:val="0"/>
        <w:adjustRightInd w:val="0"/>
        <w:ind w:left="720"/>
        <w:rPr>
          <w:i/>
          <w:iCs/>
          <w:color w:val="0000FF"/>
        </w:rPr>
      </w:pPr>
      <w:r>
        <w:rPr>
          <w:i/>
          <w:iCs/>
          <w:color w:val="0000FF"/>
          <w:u w:val="single"/>
        </w:rPr>
        <w:t>Example (b)</w:t>
      </w:r>
      <w:r>
        <w:rPr>
          <w:i/>
          <w:iCs/>
          <w:color w:val="0000FF"/>
        </w:rPr>
        <w:t>:</w:t>
      </w:r>
      <w:r>
        <w:rPr>
          <w:i/>
          <w:iCs/>
          <w:color w:val="0000FF"/>
        </w:rPr>
        <w:tab/>
        <w:t>(For a project requiring public notification – PE &gt; 100 lb/day.)</w:t>
      </w:r>
    </w:p>
    <w:p w:rsidR="0019180C" w:rsidRDefault="0019180C">
      <w:pPr>
        <w:ind w:left="720"/>
        <w:rPr>
          <w:color w:val="000000"/>
        </w:rPr>
      </w:pPr>
      <w:r>
        <w:rPr>
          <w:color w:val="000000"/>
        </w:rPr>
        <w:t>As discussed above, public noticing is required for this project for NO</w:t>
      </w:r>
      <w:r>
        <w:rPr>
          <w:color w:val="000000"/>
          <w:vertAlign w:val="subscript"/>
        </w:rPr>
        <w:t>X</w:t>
      </w:r>
      <w:r>
        <w:rPr>
          <w:color w:val="000000"/>
        </w:rPr>
        <w:t xml:space="preserve"> emissions in excess of 100 lb/day.  Therefore, public notice documents will be submitted to the California Air Resources Board (CARB) and a public notice will be published in a local newspaper of general circulation prior to the issuance of the ATC for this equipment.</w:t>
      </w:r>
    </w:p>
    <w:p w:rsidR="0019180C" w:rsidRDefault="0019180C">
      <w:pPr>
        <w:ind w:left="720"/>
        <w:rPr>
          <w:bCs/>
          <w:color w:val="000000"/>
        </w:rPr>
      </w:pPr>
    </w:p>
    <w:p w:rsidR="0019180C" w:rsidRDefault="0019180C">
      <w:pPr>
        <w:ind w:left="720"/>
        <w:rPr>
          <w:i/>
          <w:iCs/>
          <w:color w:val="FF0000"/>
        </w:rPr>
      </w:pPr>
      <w:r>
        <w:rPr>
          <w:i/>
          <w:iCs/>
          <w:color w:val="FF0000"/>
        </w:rPr>
        <w:t>(</w:t>
      </w:r>
      <w:r>
        <w:rPr>
          <w:i/>
          <w:iCs/>
          <w:color w:val="FF0000"/>
          <w:u w:val="single"/>
        </w:rPr>
        <w:t>Note</w:t>
      </w:r>
      <w:r>
        <w:rPr>
          <w:i/>
          <w:iCs/>
          <w:color w:val="FF0000"/>
        </w:rPr>
        <w:t>: When public notification is required an additional section in the EE gets added, Section VIII-Rule 2201-F, see below)</w:t>
      </w:r>
    </w:p>
    <w:p w:rsidR="0019180C" w:rsidRDefault="0019180C">
      <w:pPr>
        <w:suppressAutoHyphens/>
        <w:ind w:left="1440"/>
        <w:jc w:val="both"/>
        <w:rPr>
          <w:spacing w:val="-3"/>
        </w:rPr>
      </w:pPr>
    </w:p>
    <w:p w:rsidR="0019180C" w:rsidRDefault="0019180C">
      <w:pPr>
        <w:pStyle w:val="Heading2"/>
      </w:pPr>
      <w:r>
        <w:t>Daily Emissions Limits (DEL)</w:t>
      </w:r>
    </w:p>
    <w:p w:rsidR="0019180C" w:rsidRDefault="0019180C">
      <w:pPr>
        <w:suppressAutoHyphens/>
        <w:ind w:left="720"/>
        <w:jc w:val="both"/>
        <w:rPr>
          <w:spacing w:val="-3"/>
        </w:rPr>
      </w:pPr>
    </w:p>
    <w:p w:rsidR="0019180C" w:rsidRDefault="0019180C">
      <w:pPr>
        <w:suppressAutoHyphens/>
        <w:ind w:left="360"/>
        <w:jc w:val="both"/>
      </w:pPr>
      <w:r>
        <w:t>Daily Emissions Limitations (DELs) and other enforceable conditions are required by Section 3.15 to restrict a unit’s maximum daily emissions, to a level at or below the emissions associated with the maximum design capacity.  Per Sections 3.15.1 and 3.15.2, the DEL must be contained in the latest ATC and contained in or enforced by the latest PTO and enforceable, in a practicable manner, on a daily basis. DELs are also required to enforce the applicability of BACT.</w:t>
      </w:r>
    </w:p>
    <w:p w:rsidR="0019180C" w:rsidRDefault="0019180C">
      <w:pPr>
        <w:suppressAutoHyphens/>
        <w:ind w:left="540"/>
        <w:jc w:val="both"/>
      </w:pPr>
    </w:p>
    <w:p w:rsidR="0019180C" w:rsidRDefault="0019180C">
      <w:pPr>
        <w:numPr>
          <w:ilvl w:val="0"/>
          <w:numId w:val="2"/>
        </w:numPr>
        <w:tabs>
          <w:tab w:val="clear" w:pos="1440"/>
          <w:tab w:val="num" w:pos="1260"/>
        </w:tabs>
        <w:suppressAutoHyphens/>
        <w:ind w:left="1260"/>
        <w:jc w:val="both"/>
      </w:pPr>
      <w:r>
        <w:lastRenderedPageBreak/>
        <w:t xml:space="preserve">The total VOC emissions from the soil remediation system served by the thermal oxidizer shall not exceed </w:t>
      </w:r>
      <w:r>
        <w:rPr>
          <w:color w:val="0000FF"/>
        </w:rPr>
        <w:t>[  ]</w:t>
      </w:r>
      <w:r>
        <w:t xml:space="preserve"> pounds in any one day.</w:t>
      </w:r>
    </w:p>
    <w:p w:rsidR="0019180C" w:rsidRDefault="0019180C">
      <w:pPr>
        <w:numPr>
          <w:ilvl w:val="0"/>
          <w:numId w:val="2"/>
        </w:numPr>
        <w:tabs>
          <w:tab w:val="clear" w:pos="1440"/>
          <w:tab w:val="num" w:pos="1260"/>
        </w:tabs>
        <w:suppressAutoHyphens/>
        <w:ind w:left="1260"/>
        <w:jc w:val="both"/>
      </w:pPr>
      <w:r>
        <w:t xml:space="preserve">VOC concentration of the exhaust gas from the soil remediation system served by </w:t>
      </w:r>
      <w:r>
        <w:rPr>
          <w:spacing w:val="-3"/>
        </w:rPr>
        <w:t xml:space="preserve">the thermal/catalytic oxidizer </w:t>
      </w:r>
      <w:r>
        <w:t xml:space="preserve">shall not exceed </w:t>
      </w:r>
      <w:r>
        <w:rPr>
          <w:color w:val="0000FF"/>
        </w:rPr>
        <w:t>[  ]</w:t>
      </w:r>
      <w:r>
        <w:t xml:space="preserve"> ppmv, as methane.  [District Rule 2201]</w:t>
      </w:r>
    </w:p>
    <w:p w:rsidR="0019180C" w:rsidRDefault="0019180C">
      <w:pPr>
        <w:numPr>
          <w:ilvl w:val="0"/>
          <w:numId w:val="2"/>
        </w:numPr>
        <w:tabs>
          <w:tab w:val="clear" w:pos="1440"/>
          <w:tab w:val="num" w:pos="1260"/>
        </w:tabs>
        <w:suppressAutoHyphens/>
        <w:ind w:left="1260"/>
        <w:jc w:val="both"/>
      </w:pPr>
      <w:r>
        <w:t xml:space="preserve">The soil ventilation rate and the exhaust gas flow rate shall not exceed </w:t>
      </w:r>
      <w:r>
        <w:rPr>
          <w:color w:val="0000FF"/>
        </w:rPr>
        <w:t>[  ]</w:t>
      </w:r>
      <w:r>
        <w:t xml:space="preserve"> scfm.</w:t>
      </w:r>
    </w:p>
    <w:p w:rsidR="0019180C" w:rsidRDefault="0019180C">
      <w:pPr>
        <w:suppressAutoHyphens/>
        <w:ind w:left="720"/>
        <w:jc w:val="both"/>
      </w:pPr>
    </w:p>
    <w:p w:rsidR="0019180C" w:rsidRDefault="0019180C">
      <w:pPr>
        <w:pStyle w:val="Heading2"/>
        <w:rPr>
          <w:u w:val="single"/>
        </w:rPr>
      </w:pPr>
      <w:r>
        <w:t>Compliance Assurance</w:t>
      </w:r>
    </w:p>
    <w:p w:rsidR="0019180C" w:rsidRDefault="0019180C">
      <w:pPr>
        <w:suppressAutoHyphens/>
        <w:ind w:left="720"/>
      </w:pPr>
    </w:p>
    <w:p w:rsidR="0019180C" w:rsidRDefault="0019180C">
      <w:pPr>
        <w:suppressAutoHyphens/>
        <w:ind w:left="360"/>
      </w:pPr>
      <w:r>
        <w:t>The following measures shall be taken to ensure continued compliance with District Rules:</w:t>
      </w:r>
    </w:p>
    <w:p w:rsidR="0019180C" w:rsidRDefault="0019180C">
      <w:pPr>
        <w:suppressAutoHyphens/>
        <w:ind w:left="1440"/>
        <w:jc w:val="both"/>
        <w:rPr>
          <w:spacing w:val="-3"/>
        </w:rPr>
      </w:pPr>
    </w:p>
    <w:p w:rsidR="0019180C" w:rsidRDefault="0019180C">
      <w:pPr>
        <w:pStyle w:val="Heading3"/>
      </w:pPr>
      <w:r>
        <w:t>Source Testing</w:t>
      </w:r>
    </w:p>
    <w:p w:rsidR="0019180C" w:rsidRDefault="0019180C">
      <w:pPr>
        <w:suppressAutoHyphens/>
        <w:ind w:left="1440"/>
        <w:jc w:val="both"/>
        <w:rPr>
          <w:b/>
          <w:spacing w:val="-3"/>
        </w:rPr>
      </w:pPr>
    </w:p>
    <w:p w:rsidR="0019180C" w:rsidRDefault="0019180C">
      <w:pPr>
        <w:pStyle w:val="BodyTextIndent3"/>
        <w:ind w:left="720"/>
      </w:pPr>
      <w:r>
        <w:t>VOC Source testing upon initial startup is required.</w:t>
      </w:r>
    </w:p>
    <w:p w:rsidR="0019180C" w:rsidRDefault="0019180C">
      <w:pPr>
        <w:suppressAutoHyphens/>
        <w:ind w:left="1440"/>
        <w:jc w:val="both"/>
        <w:rPr>
          <w:spacing w:val="-3"/>
        </w:rPr>
      </w:pPr>
    </w:p>
    <w:p w:rsidR="0019180C" w:rsidRDefault="0019180C">
      <w:pPr>
        <w:pStyle w:val="Heading3"/>
      </w:pPr>
      <w:r>
        <w:t>Monitoring</w:t>
      </w:r>
    </w:p>
    <w:p w:rsidR="0019180C" w:rsidRDefault="0019180C">
      <w:pPr>
        <w:suppressAutoHyphens/>
        <w:ind w:left="1440"/>
        <w:jc w:val="both"/>
        <w:rPr>
          <w:spacing w:val="-3"/>
        </w:rPr>
      </w:pPr>
    </w:p>
    <w:p w:rsidR="0019180C" w:rsidRDefault="0019180C">
      <w:pPr>
        <w:pStyle w:val="BodyTextIndent"/>
      </w:pPr>
      <w:r>
        <w:t>Monitoring of influent and exhaust VOC concentrations will be required weekly.   If the uncontrolled VOC emission rate is below 2.0 lb/day as demonstrated by five consecutive weekly samples, the control device may be taken off-line and sampling shall be performed monthly for ongoing demonstration to show that the uncontrolled VOC emissions are below 2.0 lb/day.</w:t>
      </w:r>
    </w:p>
    <w:p w:rsidR="0019180C" w:rsidRDefault="0019180C">
      <w:pPr>
        <w:suppressAutoHyphens/>
        <w:ind w:left="1440"/>
        <w:jc w:val="both"/>
        <w:rPr>
          <w:spacing w:val="-3"/>
        </w:rPr>
      </w:pPr>
    </w:p>
    <w:p w:rsidR="0019180C" w:rsidRDefault="0019180C">
      <w:pPr>
        <w:pStyle w:val="Heading3"/>
      </w:pPr>
      <w:r>
        <w:t>Record Keeping</w:t>
      </w:r>
    </w:p>
    <w:p w:rsidR="0019180C" w:rsidRDefault="0019180C">
      <w:pPr>
        <w:suppressAutoHyphens/>
        <w:ind w:left="1440"/>
        <w:jc w:val="both"/>
        <w:rPr>
          <w:spacing w:val="-3"/>
        </w:rPr>
      </w:pPr>
    </w:p>
    <w:p w:rsidR="0019180C" w:rsidRDefault="0019180C">
      <w:pPr>
        <w:pStyle w:val="BodyTextIndent"/>
      </w:pPr>
      <w:r>
        <w:t>The permittee shall maintain records for all monitored data for a period of five years.</w:t>
      </w:r>
    </w:p>
    <w:p w:rsidR="0019180C" w:rsidRDefault="0019180C">
      <w:pPr>
        <w:suppressAutoHyphens/>
        <w:ind w:left="1440"/>
        <w:jc w:val="both"/>
        <w:rPr>
          <w:spacing w:val="-3"/>
        </w:rPr>
      </w:pPr>
    </w:p>
    <w:p w:rsidR="0019180C" w:rsidRDefault="0019180C">
      <w:pPr>
        <w:pStyle w:val="Heading3"/>
      </w:pPr>
      <w:r>
        <w:t>Reporting</w:t>
      </w:r>
    </w:p>
    <w:p w:rsidR="0019180C" w:rsidRDefault="0019180C">
      <w:pPr>
        <w:suppressAutoHyphens/>
        <w:ind w:left="1440"/>
        <w:jc w:val="both"/>
        <w:rPr>
          <w:spacing w:val="-3"/>
        </w:rPr>
      </w:pPr>
    </w:p>
    <w:p w:rsidR="0019180C" w:rsidRDefault="0019180C">
      <w:pPr>
        <w:pStyle w:val="BodyTextIndent"/>
      </w:pPr>
      <w:r>
        <w:t>The permittee shall submit initial startup test report and maintain all other monitoring records on site.  Such records shall be made available for District inspection upon request.</w:t>
      </w:r>
    </w:p>
    <w:p w:rsidR="0019180C" w:rsidRDefault="0019180C">
      <w:pPr>
        <w:suppressAutoHyphens/>
        <w:jc w:val="both"/>
        <w:rPr>
          <w:spacing w:val="-3"/>
        </w:rPr>
      </w:pPr>
    </w:p>
    <w:p w:rsidR="0019180C" w:rsidRDefault="0019180C">
      <w:pPr>
        <w:pStyle w:val="Heading2"/>
      </w:pPr>
      <w:r>
        <w:t>Ambient Air Quality Analysis</w:t>
      </w:r>
    </w:p>
    <w:p w:rsidR="0019180C" w:rsidRDefault="0019180C">
      <w:pPr>
        <w:tabs>
          <w:tab w:val="left" w:pos="720"/>
          <w:tab w:val="left" w:pos="4140"/>
        </w:tabs>
        <w:ind w:left="720"/>
        <w:rPr>
          <w:bCs/>
          <w:i/>
        </w:rPr>
      </w:pPr>
    </w:p>
    <w:p w:rsidR="0019180C" w:rsidRDefault="0019180C">
      <w:pPr>
        <w:ind w:left="360"/>
        <w:rPr>
          <w:bCs/>
          <w:iCs/>
          <w:color w:val="FF0000"/>
        </w:rPr>
      </w:pPr>
      <w:r>
        <w:rPr>
          <w:bCs/>
          <w:i/>
          <w:color w:val="FF0000"/>
        </w:rPr>
        <w:t>(</w:t>
      </w:r>
      <w:r>
        <w:rPr>
          <w:bCs/>
          <w:i/>
          <w:color w:val="FF0000"/>
          <w:u w:val="single"/>
        </w:rPr>
        <w:t>Note</w:t>
      </w:r>
      <w:r>
        <w:rPr>
          <w:bCs/>
          <w:i/>
          <w:color w:val="FF0000"/>
        </w:rPr>
        <w:t>: Applicable only when public notice is triggered, otherwise delete this section.)</w:t>
      </w:r>
    </w:p>
    <w:p w:rsidR="0019180C" w:rsidRDefault="0019180C">
      <w:pPr>
        <w:ind w:left="360"/>
        <w:rPr>
          <w:bCs/>
        </w:rPr>
      </w:pPr>
    </w:p>
    <w:p w:rsidR="0019180C" w:rsidRDefault="0019180C">
      <w:pPr>
        <w:ind w:left="360"/>
        <w:rPr>
          <w:bCs/>
          <w:color w:val="800000"/>
        </w:rPr>
      </w:pPr>
      <w:r>
        <w:rPr>
          <w:bCs/>
          <w:color w:val="800000"/>
        </w:rPr>
        <w:t>An AAQA is conducted by the Technical Services group, for any project which has an increase in emissions and triggers public notification requirements.  Discuss the AAQA results as follows.</w:t>
      </w:r>
    </w:p>
    <w:p w:rsidR="0019180C" w:rsidRDefault="0019180C">
      <w:pPr>
        <w:autoSpaceDE w:val="0"/>
        <w:autoSpaceDN w:val="0"/>
        <w:adjustRightInd w:val="0"/>
        <w:ind w:left="360"/>
        <w:rPr>
          <w:bCs/>
        </w:rPr>
      </w:pPr>
    </w:p>
    <w:p w:rsidR="0019180C" w:rsidRDefault="0019180C">
      <w:pPr>
        <w:tabs>
          <w:tab w:val="left" w:pos="1890"/>
        </w:tabs>
        <w:autoSpaceDE w:val="0"/>
        <w:autoSpaceDN w:val="0"/>
        <w:adjustRightInd w:val="0"/>
        <w:ind w:left="360"/>
        <w:rPr>
          <w:i/>
          <w:iCs/>
          <w:color w:val="0000FF"/>
        </w:rPr>
      </w:pPr>
      <w:r>
        <w:rPr>
          <w:i/>
          <w:iCs/>
          <w:color w:val="0000FF"/>
          <w:u w:val="single"/>
        </w:rPr>
        <w:t>For example</w:t>
      </w:r>
      <w:r>
        <w:rPr>
          <w:i/>
          <w:iCs/>
          <w:color w:val="0000FF"/>
        </w:rPr>
        <w:t>:</w:t>
      </w:r>
      <w:r>
        <w:rPr>
          <w:i/>
          <w:iCs/>
          <w:color w:val="0000FF"/>
        </w:rPr>
        <w:tab/>
      </w:r>
    </w:p>
    <w:p w:rsidR="0019180C" w:rsidRDefault="0019180C">
      <w:pPr>
        <w:ind w:left="360"/>
      </w:pPr>
      <w:r>
        <w:t>Section 4.14.1 of this Rule requires that an ambient air quality analysis (AAQA) be conducted for the purpose of determining whether a new or modified Stationary Source will cause or make worse a violation of an air quality standard.  The Technical Services Division of the SJVAPCD conducted the required analysis.  Refer to Appendix X of this document for the AAQA summary sheet.</w:t>
      </w:r>
    </w:p>
    <w:p w:rsidR="0019180C" w:rsidRDefault="0019180C">
      <w:pPr>
        <w:pStyle w:val="FootnoteText"/>
        <w:ind w:left="360"/>
        <w:rPr>
          <w:rFonts w:ascii="Arial" w:hAnsi="Arial"/>
        </w:rPr>
      </w:pPr>
    </w:p>
    <w:p w:rsidR="0019180C" w:rsidRDefault="0019180C">
      <w:pPr>
        <w:ind w:left="360"/>
      </w:pPr>
      <w:r>
        <w:t>The proposed location is in an attainment area for NO</w:t>
      </w:r>
      <w:r>
        <w:rPr>
          <w:vertAlign w:val="subscript"/>
        </w:rPr>
        <w:t>X</w:t>
      </w:r>
      <w:r>
        <w:t>, CO, and SO</w:t>
      </w:r>
      <w:r>
        <w:rPr>
          <w:vertAlign w:val="subscript"/>
        </w:rPr>
        <w:t>X</w:t>
      </w:r>
      <w:r>
        <w:t>.  As shown by the AAQA summary sheet the proposed equipment will not cause a violation of an air quality standard for NO</w:t>
      </w:r>
      <w:r>
        <w:rPr>
          <w:vertAlign w:val="subscript"/>
        </w:rPr>
        <w:t>X</w:t>
      </w:r>
      <w:r>
        <w:t>, CO, or SO</w:t>
      </w:r>
      <w:r>
        <w:rPr>
          <w:vertAlign w:val="subscript"/>
        </w:rPr>
        <w:t>X</w:t>
      </w:r>
      <w:r>
        <w:t>.</w:t>
      </w:r>
    </w:p>
    <w:p w:rsidR="0019180C" w:rsidRDefault="0019180C">
      <w:pPr>
        <w:ind w:left="360"/>
      </w:pPr>
    </w:p>
    <w:p w:rsidR="0019180C" w:rsidRDefault="0019180C">
      <w:pPr>
        <w:ind w:left="360"/>
      </w:pPr>
      <w:r>
        <w:t>The proposed location is in a non-attainment area for PM</w:t>
      </w:r>
      <w:r>
        <w:rPr>
          <w:vertAlign w:val="subscript"/>
        </w:rPr>
        <w:t>10</w:t>
      </w:r>
      <w:r>
        <w:t>.  The increase in the ambient PM</w:t>
      </w:r>
      <w:r>
        <w:rPr>
          <w:vertAlign w:val="subscript"/>
        </w:rPr>
        <w:t>10</w:t>
      </w:r>
      <w:r>
        <w:t xml:space="preserve"> concentration due to the proposed equipment is shown on the table titled Calculated Contribution.  The levels of significance, from 40 CFR Part 51.165 (b)(2), are shown on the table titled Significance Levels.</w:t>
      </w:r>
    </w:p>
    <w:p w:rsidR="0019180C" w:rsidRDefault="0019180C">
      <w:pPr>
        <w:ind w:left="1080"/>
      </w:pPr>
    </w:p>
    <w:tbl>
      <w:tblPr>
        <w:tblW w:w="9522" w:type="dxa"/>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634"/>
        <w:gridCol w:w="1634"/>
        <w:gridCol w:w="1635"/>
        <w:gridCol w:w="1634"/>
        <w:gridCol w:w="1635"/>
      </w:tblGrid>
      <w:tr w:rsidR="0019180C" w:rsidTr="005722FE">
        <w:trPr>
          <w:cantSplit/>
          <w:jc w:val="center"/>
        </w:trPr>
        <w:tc>
          <w:tcPr>
            <w:tcW w:w="9522" w:type="dxa"/>
            <w:gridSpan w:val="6"/>
            <w:tcBorders>
              <w:top w:val="double" w:sz="4" w:space="0" w:color="auto"/>
              <w:left w:val="double" w:sz="4" w:space="0" w:color="auto"/>
              <w:bottom w:val="nil"/>
              <w:right w:val="double" w:sz="4" w:space="0" w:color="auto"/>
            </w:tcBorders>
            <w:shd w:val="clear" w:color="auto" w:fill="auto"/>
          </w:tcPr>
          <w:p w:rsidR="0019180C" w:rsidRDefault="0019180C">
            <w:pPr>
              <w:jc w:val="center"/>
              <w:rPr>
                <w:b/>
              </w:rPr>
            </w:pPr>
            <w:r>
              <w:rPr>
                <w:b/>
              </w:rPr>
              <w:t>Significance Levels</w:t>
            </w:r>
          </w:p>
        </w:tc>
      </w:tr>
      <w:tr w:rsidR="0019180C" w:rsidTr="005722FE">
        <w:trPr>
          <w:cantSplit/>
          <w:jc w:val="center"/>
        </w:trPr>
        <w:tc>
          <w:tcPr>
            <w:tcW w:w="1350" w:type="dxa"/>
            <w:vMerge w:val="restart"/>
            <w:tcBorders>
              <w:top w:val="double" w:sz="4" w:space="0" w:color="auto"/>
              <w:left w:val="double" w:sz="4" w:space="0" w:color="auto"/>
            </w:tcBorders>
            <w:shd w:val="clear" w:color="auto" w:fill="auto"/>
            <w:vAlign w:val="center"/>
          </w:tcPr>
          <w:p w:rsidR="0019180C" w:rsidRDefault="0019180C">
            <w:pPr>
              <w:jc w:val="center"/>
            </w:pPr>
            <w:r>
              <w:t>Pollutant</w:t>
            </w:r>
          </w:p>
        </w:tc>
        <w:tc>
          <w:tcPr>
            <w:tcW w:w="8172" w:type="dxa"/>
            <w:gridSpan w:val="5"/>
            <w:tcBorders>
              <w:top w:val="double" w:sz="4" w:space="0" w:color="auto"/>
              <w:right w:val="double" w:sz="4" w:space="0" w:color="auto"/>
            </w:tcBorders>
            <w:shd w:val="clear" w:color="auto" w:fill="auto"/>
            <w:vAlign w:val="center"/>
          </w:tcPr>
          <w:p w:rsidR="0019180C" w:rsidRDefault="0019180C">
            <w:pPr>
              <w:jc w:val="center"/>
            </w:pPr>
            <w:r>
              <w:t>Significance Levels (</w:t>
            </w:r>
            <w:r>
              <w:sym w:font="Symbol" w:char="F06D"/>
            </w:r>
            <w:r>
              <w:t>g/m</w:t>
            </w:r>
            <w:r>
              <w:rPr>
                <w:vertAlign w:val="superscript"/>
              </w:rPr>
              <w:t>3</w:t>
            </w:r>
            <w:r>
              <w:t>) - 40 CFR Part 51.165 (b)(2)</w:t>
            </w:r>
          </w:p>
        </w:tc>
      </w:tr>
      <w:tr w:rsidR="0019180C" w:rsidTr="005722FE">
        <w:trPr>
          <w:cantSplit/>
          <w:jc w:val="center"/>
        </w:trPr>
        <w:tc>
          <w:tcPr>
            <w:tcW w:w="1350" w:type="dxa"/>
            <w:vMerge/>
            <w:tcBorders>
              <w:left w:val="double" w:sz="4" w:space="0" w:color="auto"/>
              <w:bottom w:val="single" w:sz="12" w:space="0" w:color="auto"/>
            </w:tcBorders>
            <w:shd w:val="clear" w:color="auto" w:fill="auto"/>
          </w:tcPr>
          <w:p w:rsidR="0019180C" w:rsidRDefault="0019180C">
            <w:pPr>
              <w:jc w:val="center"/>
            </w:pPr>
          </w:p>
        </w:tc>
        <w:tc>
          <w:tcPr>
            <w:tcW w:w="1634" w:type="dxa"/>
            <w:tcBorders>
              <w:bottom w:val="single" w:sz="12" w:space="0" w:color="auto"/>
            </w:tcBorders>
            <w:shd w:val="clear" w:color="auto" w:fill="auto"/>
            <w:vAlign w:val="center"/>
          </w:tcPr>
          <w:p w:rsidR="0019180C" w:rsidRDefault="0019180C">
            <w:pPr>
              <w:jc w:val="center"/>
            </w:pPr>
            <w:r>
              <w:t>Annual Avg.</w:t>
            </w:r>
          </w:p>
        </w:tc>
        <w:tc>
          <w:tcPr>
            <w:tcW w:w="1634" w:type="dxa"/>
            <w:tcBorders>
              <w:bottom w:val="single" w:sz="12" w:space="0" w:color="auto"/>
            </w:tcBorders>
            <w:shd w:val="clear" w:color="auto" w:fill="auto"/>
            <w:vAlign w:val="center"/>
          </w:tcPr>
          <w:p w:rsidR="0019180C" w:rsidRDefault="0019180C">
            <w:pPr>
              <w:jc w:val="center"/>
            </w:pPr>
            <w:r>
              <w:t>24 hr Avg.</w:t>
            </w:r>
          </w:p>
        </w:tc>
        <w:tc>
          <w:tcPr>
            <w:tcW w:w="1635" w:type="dxa"/>
            <w:tcBorders>
              <w:bottom w:val="single" w:sz="12" w:space="0" w:color="auto"/>
            </w:tcBorders>
            <w:shd w:val="clear" w:color="auto" w:fill="auto"/>
            <w:vAlign w:val="center"/>
          </w:tcPr>
          <w:p w:rsidR="0019180C" w:rsidRDefault="0019180C">
            <w:pPr>
              <w:jc w:val="center"/>
            </w:pPr>
            <w:r>
              <w:t>8 hr Avg.</w:t>
            </w:r>
          </w:p>
        </w:tc>
        <w:tc>
          <w:tcPr>
            <w:tcW w:w="1634" w:type="dxa"/>
            <w:tcBorders>
              <w:bottom w:val="single" w:sz="12" w:space="0" w:color="auto"/>
            </w:tcBorders>
            <w:shd w:val="clear" w:color="auto" w:fill="auto"/>
            <w:vAlign w:val="center"/>
          </w:tcPr>
          <w:p w:rsidR="0019180C" w:rsidRDefault="0019180C">
            <w:pPr>
              <w:jc w:val="center"/>
            </w:pPr>
            <w:r>
              <w:t>3 hr Avg.</w:t>
            </w:r>
          </w:p>
        </w:tc>
        <w:tc>
          <w:tcPr>
            <w:tcW w:w="1635" w:type="dxa"/>
            <w:tcBorders>
              <w:bottom w:val="single" w:sz="12" w:space="0" w:color="auto"/>
              <w:right w:val="double" w:sz="4" w:space="0" w:color="auto"/>
            </w:tcBorders>
            <w:shd w:val="clear" w:color="auto" w:fill="auto"/>
            <w:vAlign w:val="center"/>
          </w:tcPr>
          <w:p w:rsidR="0019180C" w:rsidRDefault="0019180C">
            <w:pPr>
              <w:jc w:val="center"/>
            </w:pPr>
            <w:r>
              <w:t>1 hr Avg.</w:t>
            </w:r>
          </w:p>
        </w:tc>
      </w:tr>
      <w:tr w:rsidR="0019180C" w:rsidTr="005722FE">
        <w:trPr>
          <w:cantSplit/>
          <w:jc w:val="center"/>
        </w:trPr>
        <w:tc>
          <w:tcPr>
            <w:tcW w:w="1350" w:type="dxa"/>
            <w:tcBorders>
              <w:top w:val="nil"/>
              <w:left w:val="double" w:sz="4" w:space="0" w:color="auto"/>
              <w:bottom w:val="double" w:sz="4" w:space="0" w:color="auto"/>
            </w:tcBorders>
            <w:shd w:val="clear" w:color="auto" w:fill="auto"/>
          </w:tcPr>
          <w:p w:rsidR="0019180C" w:rsidRPr="005722FE" w:rsidRDefault="005722FE">
            <w:pPr>
              <w:jc w:val="center"/>
            </w:pPr>
            <w:r w:rsidRPr="005722FE">
              <w:rPr>
                <w:rFonts w:cs="Arial"/>
                <w:sz w:val="22"/>
                <w:szCs w:val="24"/>
              </w:rPr>
              <w:t>PM</w:t>
            </w:r>
            <w:r w:rsidRPr="005722FE">
              <w:rPr>
                <w:rFonts w:cs="Arial"/>
                <w:sz w:val="22"/>
                <w:szCs w:val="24"/>
                <w:vertAlign w:val="subscript"/>
              </w:rPr>
              <w:t>10</w:t>
            </w:r>
            <w:r>
              <w:rPr>
                <w:sz w:val="22"/>
                <w:szCs w:val="22"/>
              </w:rPr>
              <w:t xml:space="preserve"> </w:t>
            </w:r>
          </w:p>
        </w:tc>
        <w:tc>
          <w:tcPr>
            <w:tcW w:w="1634" w:type="dxa"/>
            <w:tcBorders>
              <w:top w:val="nil"/>
              <w:bottom w:val="double" w:sz="4" w:space="0" w:color="auto"/>
            </w:tcBorders>
            <w:shd w:val="clear" w:color="auto" w:fill="auto"/>
          </w:tcPr>
          <w:p w:rsidR="0019180C" w:rsidRDefault="0019180C">
            <w:pPr>
              <w:jc w:val="center"/>
            </w:pPr>
            <w:r>
              <w:t>1.0</w:t>
            </w:r>
          </w:p>
        </w:tc>
        <w:tc>
          <w:tcPr>
            <w:tcW w:w="1634" w:type="dxa"/>
            <w:tcBorders>
              <w:top w:val="nil"/>
              <w:bottom w:val="double" w:sz="4" w:space="0" w:color="auto"/>
            </w:tcBorders>
            <w:shd w:val="clear" w:color="auto" w:fill="auto"/>
          </w:tcPr>
          <w:p w:rsidR="0019180C" w:rsidRDefault="0019180C">
            <w:pPr>
              <w:jc w:val="center"/>
            </w:pPr>
            <w:r>
              <w:t>5</w:t>
            </w:r>
          </w:p>
        </w:tc>
        <w:tc>
          <w:tcPr>
            <w:tcW w:w="1635" w:type="dxa"/>
            <w:tcBorders>
              <w:top w:val="nil"/>
              <w:bottom w:val="double" w:sz="4" w:space="0" w:color="auto"/>
            </w:tcBorders>
            <w:shd w:val="clear" w:color="auto" w:fill="auto"/>
          </w:tcPr>
          <w:p w:rsidR="0019180C" w:rsidRDefault="0019180C">
            <w:pPr>
              <w:jc w:val="center"/>
            </w:pPr>
            <w:r>
              <w:t>N/A</w:t>
            </w:r>
          </w:p>
        </w:tc>
        <w:tc>
          <w:tcPr>
            <w:tcW w:w="1634" w:type="dxa"/>
            <w:tcBorders>
              <w:top w:val="nil"/>
              <w:bottom w:val="double" w:sz="4" w:space="0" w:color="auto"/>
            </w:tcBorders>
            <w:shd w:val="clear" w:color="auto" w:fill="auto"/>
          </w:tcPr>
          <w:p w:rsidR="0019180C" w:rsidRDefault="0019180C">
            <w:pPr>
              <w:jc w:val="center"/>
            </w:pPr>
            <w:r>
              <w:t>N/A</w:t>
            </w:r>
          </w:p>
        </w:tc>
        <w:tc>
          <w:tcPr>
            <w:tcW w:w="1635" w:type="dxa"/>
            <w:tcBorders>
              <w:top w:val="nil"/>
              <w:bottom w:val="double" w:sz="4" w:space="0" w:color="auto"/>
              <w:right w:val="double" w:sz="4" w:space="0" w:color="auto"/>
            </w:tcBorders>
            <w:shd w:val="clear" w:color="auto" w:fill="auto"/>
          </w:tcPr>
          <w:p w:rsidR="0019180C" w:rsidRDefault="0019180C">
            <w:pPr>
              <w:jc w:val="center"/>
            </w:pPr>
            <w:r>
              <w:t>N/A</w:t>
            </w:r>
          </w:p>
        </w:tc>
      </w:tr>
    </w:tbl>
    <w:p w:rsidR="0019180C" w:rsidRDefault="0019180C">
      <w:pPr>
        <w:ind w:left="1080"/>
      </w:pPr>
    </w:p>
    <w:tbl>
      <w:tblPr>
        <w:tblW w:w="9522" w:type="dxa"/>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634"/>
        <w:gridCol w:w="1634"/>
        <w:gridCol w:w="1635"/>
        <w:gridCol w:w="1634"/>
        <w:gridCol w:w="1635"/>
      </w:tblGrid>
      <w:tr w:rsidR="0019180C" w:rsidTr="005722FE">
        <w:trPr>
          <w:cantSplit/>
          <w:jc w:val="center"/>
        </w:trPr>
        <w:tc>
          <w:tcPr>
            <w:tcW w:w="9522" w:type="dxa"/>
            <w:gridSpan w:val="6"/>
            <w:tcBorders>
              <w:top w:val="double" w:sz="4" w:space="0" w:color="auto"/>
              <w:left w:val="double" w:sz="4" w:space="0" w:color="auto"/>
              <w:bottom w:val="nil"/>
              <w:right w:val="double" w:sz="4" w:space="0" w:color="auto"/>
            </w:tcBorders>
            <w:shd w:val="clear" w:color="auto" w:fill="auto"/>
          </w:tcPr>
          <w:p w:rsidR="0019180C" w:rsidRDefault="0019180C">
            <w:pPr>
              <w:jc w:val="center"/>
              <w:rPr>
                <w:b/>
                <w:bCs/>
              </w:rPr>
            </w:pPr>
            <w:r>
              <w:rPr>
                <w:b/>
                <w:bCs/>
              </w:rPr>
              <w:t>Calculated Contribution</w:t>
            </w:r>
          </w:p>
        </w:tc>
      </w:tr>
      <w:tr w:rsidR="0019180C" w:rsidTr="005722FE">
        <w:trPr>
          <w:cantSplit/>
          <w:jc w:val="center"/>
        </w:trPr>
        <w:tc>
          <w:tcPr>
            <w:tcW w:w="1350" w:type="dxa"/>
            <w:vMerge w:val="restart"/>
            <w:tcBorders>
              <w:top w:val="double" w:sz="4" w:space="0" w:color="auto"/>
              <w:left w:val="double" w:sz="4" w:space="0" w:color="auto"/>
            </w:tcBorders>
            <w:shd w:val="clear" w:color="auto" w:fill="auto"/>
            <w:vAlign w:val="center"/>
          </w:tcPr>
          <w:p w:rsidR="0019180C" w:rsidRDefault="0019180C">
            <w:pPr>
              <w:jc w:val="center"/>
            </w:pPr>
            <w:r>
              <w:t>Pollutant</w:t>
            </w:r>
          </w:p>
        </w:tc>
        <w:tc>
          <w:tcPr>
            <w:tcW w:w="8172" w:type="dxa"/>
            <w:gridSpan w:val="5"/>
            <w:tcBorders>
              <w:top w:val="double" w:sz="4" w:space="0" w:color="auto"/>
              <w:right w:val="double" w:sz="4" w:space="0" w:color="auto"/>
            </w:tcBorders>
            <w:shd w:val="clear" w:color="auto" w:fill="auto"/>
            <w:vAlign w:val="center"/>
          </w:tcPr>
          <w:p w:rsidR="0019180C" w:rsidRDefault="0019180C">
            <w:pPr>
              <w:jc w:val="center"/>
            </w:pPr>
            <w:r>
              <w:t>Calculated Contributions (</w:t>
            </w:r>
            <w:r>
              <w:sym w:font="Symbol" w:char="F06D"/>
            </w:r>
            <w:r>
              <w:t>g/m</w:t>
            </w:r>
            <w:r>
              <w:rPr>
                <w:vertAlign w:val="superscript"/>
              </w:rPr>
              <w:t>3</w:t>
            </w:r>
            <w:r>
              <w:t>)</w:t>
            </w:r>
          </w:p>
        </w:tc>
      </w:tr>
      <w:tr w:rsidR="0019180C" w:rsidTr="005722FE">
        <w:trPr>
          <w:cantSplit/>
          <w:jc w:val="center"/>
        </w:trPr>
        <w:tc>
          <w:tcPr>
            <w:tcW w:w="1350" w:type="dxa"/>
            <w:vMerge/>
            <w:tcBorders>
              <w:left w:val="double" w:sz="4" w:space="0" w:color="auto"/>
              <w:bottom w:val="single" w:sz="12" w:space="0" w:color="auto"/>
            </w:tcBorders>
            <w:shd w:val="clear" w:color="auto" w:fill="auto"/>
            <w:vAlign w:val="center"/>
          </w:tcPr>
          <w:p w:rsidR="0019180C" w:rsidRDefault="0019180C">
            <w:pPr>
              <w:jc w:val="center"/>
            </w:pPr>
          </w:p>
        </w:tc>
        <w:tc>
          <w:tcPr>
            <w:tcW w:w="1634" w:type="dxa"/>
            <w:tcBorders>
              <w:bottom w:val="single" w:sz="12" w:space="0" w:color="auto"/>
            </w:tcBorders>
            <w:shd w:val="clear" w:color="auto" w:fill="auto"/>
            <w:vAlign w:val="center"/>
          </w:tcPr>
          <w:p w:rsidR="0019180C" w:rsidRDefault="0019180C">
            <w:pPr>
              <w:jc w:val="center"/>
            </w:pPr>
            <w:r>
              <w:t>Annual Avg.</w:t>
            </w:r>
          </w:p>
        </w:tc>
        <w:tc>
          <w:tcPr>
            <w:tcW w:w="1634" w:type="dxa"/>
            <w:tcBorders>
              <w:bottom w:val="single" w:sz="12" w:space="0" w:color="auto"/>
            </w:tcBorders>
            <w:shd w:val="clear" w:color="auto" w:fill="auto"/>
            <w:vAlign w:val="center"/>
          </w:tcPr>
          <w:p w:rsidR="0019180C" w:rsidRDefault="0019180C">
            <w:pPr>
              <w:jc w:val="center"/>
            </w:pPr>
            <w:r>
              <w:t>24 hr Avg.</w:t>
            </w:r>
          </w:p>
        </w:tc>
        <w:tc>
          <w:tcPr>
            <w:tcW w:w="1635" w:type="dxa"/>
            <w:tcBorders>
              <w:bottom w:val="single" w:sz="12" w:space="0" w:color="auto"/>
            </w:tcBorders>
            <w:shd w:val="clear" w:color="auto" w:fill="auto"/>
            <w:vAlign w:val="center"/>
          </w:tcPr>
          <w:p w:rsidR="0019180C" w:rsidRDefault="0019180C">
            <w:pPr>
              <w:jc w:val="center"/>
            </w:pPr>
            <w:r>
              <w:t>8 hr Avg.</w:t>
            </w:r>
          </w:p>
        </w:tc>
        <w:tc>
          <w:tcPr>
            <w:tcW w:w="1634" w:type="dxa"/>
            <w:tcBorders>
              <w:bottom w:val="single" w:sz="12" w:space="0" w:color="auto"/>
            </w:tcBorders>
            <w:shd w:val="clear" w:color="auto" w:fill="auto"/>
            <w:vAlign w:val="center"/>
          </w:tcPr>
          <w:p w:rsidR="0019180C" w:rsidRDefault="0019180C">
            <w:pPr>
              <w:jc w:val="center"/>
            </w:pPr>
            <w:r>
              <w:t>3 hr Avg.</w:t>
            </w:r>
          </w:p>
        </w:tc>
        <w:tc>
          <w:tcPr>
            <w:tcW w:w="1635" w:type="dxa"/>
            <w:tcBorders>
              <w:bottom w:val="single" w:sz="12" w:space="0" w:color="auto"/>
              <w:right w:val="double" w:sz="4" w:space="0" w:color="auto"/>
            </w:tcBorders>
            <w:shd w:val="clear" w:color="auto" w:fill="auto"/>
            <w:vAlign w:val="center"/>
          </w:tcPr>
          <w:p w:rsidR="0019180C" w:rsidRDefault="0019180C">
            <w:pPr>
              <w:jc w:val="center"/>
            </w:pPr>
            <w:r>
              <w:t>1 hr Avg.</w:t>
            </w:r>
          </w:p>
        </w:tc>
      </w:tr>
      <w:tr w:rsidR="0019180C" w:rsidTr="005722FE">
        <w:trPr>
          <w:cantSplit/>
          <w:trHeight w:val="107"/>
          <w:jc w:val="center"/>
        </w:trPr>
        <w:tc>
          <w:tcPr>
            <w:tcW w:w="1350" w:type="dxa"/>
            <w:tcBorders>
              <w:top w:val="single" w:sz="12" w:space="0" w:color="auto"/>
              <w:left w:val="double" w:sz="4" w:space="0" w:color="auto"/>
              <w:bottom w:val="double" w:sz="4" w:space="0" w:color="auto"/>
            </w:tcBorders>
            <w:shd w:val="clear" w:color="auto" w:fill="auto"/>
          </w:tcPr>
          <w:p w:rsidR="0019180C" w:rsidRPr="005722FE" w:rsidRDefault="005722FE">
            <w:pPr>
              <w:jc w:val="center"/>
            </w:pPr>
            <w:r w:rsidRPr="005722FE">
              <w:rPr>
                <w:rFonts w:cs="Arial"/>
                <w:sz w:val="22"/>
                <w:szCs w:val="24"/>
              </w:rPr>
              <w:t>PM</w:t>
            </w:r>
            <w:r w:rsidRPr="005722FE">
              <w:rPr>
                <w:rFonts w:cs="Arial"/>
                <w:sz w:val="22"/>
                <w:szCs w:val="24"/>
                <w:vertAlign w:val="subscript"/>
              </w:rPr>
              <w:t>10</w:t>
            </w:r>
            <w:r>
              <w:rPr>
                <w:sz w:val="22"/>
                <w:szCs w:val="22"/>
              </w:rPr>
              <w:t xml:space="preserve"> </w:t>
            </w:r>
          </w:p>
        </w:tc>
        <w:tc>
          <w:tcPr>
            <w:tcW w:w="1634" w:type="dxa"/>
            <w:tcBorders>
              <w:top w:val="single" w:sz="12" w:space="0" w:color="auto"/>
              <w:bottom w:val="double" w:sz="4" w:space="0" w:color="auto"/>
            </w:tcBorders>
            <w:shd w:val="clear" w:color="auto" w:fill="auto"/>
          </w:tcPr>
          <w:p w:rsidR="0019180C" w:rsidRDefault="0019180C">
            <w:pPr>
              <w:jc w:val="center"/>
            </w:pPr>
            <w:r>
              <w:t>0.XX</w:t>
            </w:r>
          </w:p>
        </w:tc>
        <w:tc>
          <w:tcPr>
            <w:tcW w:w="1634" w:type="dxa"/>
            <w:tcBorders>
              <w:top w:val="single" w:sz="12" w:space="0" w:color="auto"/>
              <w:bottom w:val="double" w:sz="4" w:space="0" w:color="auto"/>
            </w:tcBorders>
            <w:shd w:val="clear" w:color="auto" w:fill="auto"/>
          </w:tcPr>
          <w:p w:rsidR="0019180C" w:rsidRDefault="0019180C">
            <w:pPr>
              <w:jc w:val="center"/>
            </w:pPr>
            <w:r>
              <w:t>X.XX</w:t>
            </w:r>
          </w:p>
        </w:tc>
        <w:tc>
          <w:tcPr>
            <w:tcW w:w="1635" w:type="dxa"/>
            <w:tcBorders>
              <w:top w:val="single" w:sz="12" w:space="0" w:color="auto"/>
              <w:bottom w:val="double" w:sz="4" w:space="0" w:color="auto"/>
            </w:tcBorders>
            <w:shd w:val="clear" w:color="auto" w:fill="auto"/>
          </w:tcPr>
          <w:p w:rsidR="0019180C" w:rsidRDefault="0019180C">
            <w:pPr>
              <w:jc w:val="center"/>
            </w:pPr>
            <w:r>
              <w:t>N/A</w:t>
            </w:r>
          </w:p>
        </w:tc>
        <w:tc>
          <w:tcPr>
            <w:tcW w:w="1634" w:type="dxa"/>
            <w:tcBorders>
              <w:top w:val="single" w:sz="12" w:space="0" w:color="auto"/>
              <w:bottom w:val="double" w:sz="4" w:space="0" w:color="auto"/>
            </w:tcBorders>
            <w:shd w:val="clear" w:color="auto" w:fill="auto"/>
          </w:tcPr>
          <w:p w:rsidR="0019180C" w:rsidRDefault="0019180C">
            <w:pPr>
              <w:jc w:val="center"/>
            </w:pPr>
            <w:r>
              <w:t>N/A</w:t>
            </w:r>
          </w:p>
        </w:tc>
        <w:tc>
          <w:tcPr>
            <w:tcW w:w="1635" w:type="dxa"/>
            <w:tcBorders>
              <w:top w:val="single" w:sz="12" w:space="0" w:color="auto"/>
              <w:bottom w:val="double" w:sz="4" w:space="0" w:color="auto"/>
              <w:right w:val="double" w:sz="4" w:space="0" w:color="auto"/>
            </w:tcBorders>
            <w:shd w:val="clear" w:color="auto" w:fill="auto"/>
          </w:tcPr>
          <w:p w:rsidR="0019180C" w:rsidRDefault="0019180C">
            <w:pPr>
              <w:jc w:val="center"/>
            </w:pPr>
            <w:r>
              <w:t>N/A</w:t>
            </w:r>
          </w:p>
        </w:tc>
      </w:tr>
    </w:tbl>
    <w:p w:rsidR="0019180C" w:rsidRDefault="0019180C">
      <w:pPr>
        <w:ind w:left="1080"/>
      </w:pPr>
    </w:p>
    <w:p w:rsidR="0019180C" w:rsidRDefault="0019180C">
      <w:pPr>
        <w:ind w:left="360"/>
      </w:pPr>
      <w:r>
        <w:t>As shown, the calculated contribution of PM</w:t>
      </w:r>
      <w:r>
        <w:rPr>
          <w:vertAlign w:val="subscript"/>
        </w:rPr>
        <w:t>10</w:t>
      </w:r>
      <w:r>
        <w:t xml:space="preserve"> will not exceed the EPA significance level.  This project is not expected to cause or make worse a violation of an air quality standard.</w:t>
      </w:r>
    </w:p>
    <w:p w:rsidR="0019180C" w:rsidRDefault="0019180C">
      <w:pPr>
        <w:ind w:left="1080"/>
      </w:pPr>
    </w:p>
    <w:p w:rsidR="0019180C" w:rsidRDefault="0019180C">
      <w:pPr>
        <w:ind w:left="360"/>
        <w:rPr>
          <w:bCs/>
          <w:i/>
          <w:color w:val="FF0000"/>
        </w:rPr>
      </w:pPr>
      <w:r>
        <w:rPr>
          <w:bCs/>
          <w:i/>
          <w:color w:val="FF0000"/>
        </w:rPr>
        <w:t>(</w:t>
      </w:r>
      <w:r>
        <w:rPr>
          <w:bCs/>
          <w:i/>
          <w:color w:val="FF0000"/>
          <w:u w:val="single"/>
        </w:rPr>
        <w:t>Note</w:t>
      </w:r>
      <w:r>
        <w:rPr>
          <w:bCs/>
          <w:i/>
          <w:color w:val="FF0000"/>
        </w:rPr>
        <w:t>: Special permit conditions may be required as a result of the AAQA.)</w:t>
      </w:r>
    </w:p>
    <w:p w:rsidR="0019180C" w:rsidRDefault="0019180C">
      <w:pPr>
        <w:suppressAutoHyphens/>
        <w:jc w:val="both"/>
        <w:rPr>
          <w:spacing w:val="-3"/>
        </w:rPr>
      </w:pPr>
    </w:p>
    <w:p w:rsidR="008F2A45" w:rsidRPr="008F2A45" w:rsidRDefault="008F2A45" w:rsidP="008F2A45">
      <w:pPr>
        <w:keepNext/>
        <w:outlineLvl w:val="0"/>
        <w:rPr>
          <w:b/>
          <w:bCs/>
          <w:color w:val="000000"/>
        </w:rPr>
      </w:pPr>
      <w:r w:rsidRPr="008F2A45">
        <w:rPr>
          <w:b/>
          <w:bCs/>
        </w:rPr>
        <w:t xml:space="preserve">Rule 2410    </w:t>
      </w:r>
      <w:r w:rsidRPr="008F2A45">
        <w:rPr>
          <w:b/>
          <w:bCs/>
          <w:color w:val="000000"/>
        </w:rPr>
        <w:t>Prevention of Significant Deterioration</w:t>
      </w:r>
    </w:p>
    <w:p w:rsidR="008F2A45" w:rsidRPr="008F2A45" w:rsidRDefault="008F2A45" w:rsidP="008F2A45">
      <w:pPr>
        <w:rPr>
          <w:rFonts w:eastAsia="Arial Unicode MS"/>
        </w:rPr>
      </w:pPr>
    </w:p>
    <w:p w:rsidR="008F2A45" w:rsidRPr="008F2A45" w:rsidRDefault="008F2A45" w:rsidP="008F2A45">
      <w:pPr>
        <w:rPr>
          <w:spacing w:val="-3"/>
        </w:rPr>
      </w:pPr>
      <w:r w:rsidRPr="008F2A45">
        <w:rPr>
          <w:rFonts w:cs="Arial"/>
          <w:noProof/>
        </w:rPr>
        <w:t>As shown in Section C.9.A above, this is a new facility and the project potential to emit, by itself, does not exceed any of the PSD major source thresholds.  Therefore, this facility is not a PSD source and Rule 2410 does not apply.</w:t>
      </w:r>
    </w:p>
    <w:p w:rsidR="008F2A45" w:rsidRPr="008F2A45" w:rsidRDefault="008F2A45" w:rsidP="008F2A45">
      <w:pPr>
        <w:keepNext/>
        <w:outlineLvl w:val="0"/>
        <w:rPr>
          <w:b/>
          <w:bCs/>
        </w:rPr>
      </w:pPr>
    </w:p>
    <w:p w:rsidR="0019180C" w:rsidRDefault="0019180C">
      <w:pPr>
        <w:pStyle w:val="Heading1"/>
        <w:numPr>
          <w:ilvl w:val="0"/>
          <w:numId w:val="0"/>
        </w:numPr>
        <w:suppressAutoHyphens w:val="0"/>
        <w:rPr>
          <w:rFonts w:eastAsia="Arial Unicode MS"/>
          <w:bCs/>
        </w:rPr>
      </w:pPr>
      <w:r>
        <w:rPr>
          <w:bCs/>
        </w:rPr>
        <w:t>Rule 2520    Federally Mandated Operating Permits</w:t>
      </w:r>
    </w:p>
    <w:p w:rsidR="0019180C" w:rsidRDefault="0019180C">
      <w:pPr>
        <w:rPr>
          <w:rFonts w:cs="Arial"/>
          <w:bCs/>
          <w:color w:val="000000"/>
        </w:rPr>
      </w:pPr>
      <w:r>
        <w:rPr>
          <w:rFonts w:cs="Arial"/>
          <w:bCs/>
          <w:color w:val="000000"/>
        </w:rPr>
        <w:t> </w:t>
      </w:r>
    </w:p>
    <w:p w:rsidR="0019180C" w:rsidRDefault="0019180C">
      <w:pPr>
        <w:adjustRightInd w:val="0"/>
        <w:jc w:val="both"/>
        <w:rPr>
          <w:rFonts w:cs="Arial"/>
          <w:color w:val="000000"/>
        </w:rPr>
      </w:pPr>
      <w:r>
        <w:rPr>
          <w:rFonts w:cs="Arial"/>
          <w:color w:val="000000"/>
        </w:rPr>
        <w:t>Since this facility’s potential emissions do not exceed any major source thresholds of Rule 2201, this facility is not a major source, and Rule 2520 does not apply.</w:t>
      </w:r>
    </w:p>
    <w:p w:rsidR="0019180C" w:rsidRDefault="0019180C">
      <w:pPr>
        <w:rPr>
          <w:rStyle w:val="emailstyle15"/>
          <w:sz w:val="24"/>
        </w:rPr>
      </w:pPr>
      <w:r>
        <w:rPr>
          <w:rStyle w:val="emailstyle15"/>
          <w:sz w:val="24"/>
        </w:rPr>
        <w:t> </w:t>
      </w:r>
    </w:p>
    <w:p w:rsidR="0019180C" w:rsidRDefault="0019180C">
      <w:pPr>
        <w:suppressAutoHyphens/>
        <w:jc w:val="both"/>
        <w:rPr>
          <w:b/>
          <w:spacing w:val="-3"/>
        </w:rPr>
      </w:pPr>
      <w:r>
        <w:rPr>
          <w:b/>
          <w:spacing w:val="-3"/>
        </w:rPr>
        <w:t>Rule 4101    Visible Emissions</w:t>
      </w:r>
    </w:p>
    <w:p w:rsidR="0019180C" w:rsidRDefault="0019180C">
      <w:pPr>
        <w:suppressAutoHyphens/>
        <w:jc w:val="both"/>
        <w:rPr>
          <w:spacing w:val="-3"/>
        </w:rPr>
      </w:pPr>
    </w:p>
    <w:p w:rsidR="0019180C" w:rsidRDefault="0019180C">
      <w:pPr>
        <w:suppressAutoHyphens/>
        <w:jc w:val="both"/>
        <w:rPr>
          <w:spacing w:val="-3"/>
        </w:rPr>
      </w:pPr>
      <w:r>
        <w:rPr>
          <w:spacing w:val="-3"/>
        </w:rPr>
        <w:t>Rule 4101 states that no air contaminant shall be discharged into the atmosphere for a period or periods aggregating more than three minutes in any one hour which is as dark as, or darker than, Ringelmann 1 or 20% opacity.</w:t>
      </w:r>
    </w:p>
    <w:p w:rsidR="0019180C" w:rsidRDefault="0019180C">
      <w:pPr>
        <w:suppressAutoHyphens/>
        <w:jc w:val="both"/>
        <w:rPr>
          <w:spacing w:val="-3"/>
        </w:rPr>
      </w:pPr>
    </w:p>
    <w:p w:rsidR="0019180C" w:rsidRDefault="0019180C">
      <w:pPr>
        <w:pStyle w:val="BodyTextIndent"/>
        <w:ind w:left="0"/>
      </w:pPr>
      <w:r>
        <w:t>As long as the equipment is properly maintained and operated, compliance with visible emissions limits is expected under normal operating conditions.</w:t>
      </w:r>
    </w:p>
    <w:p w:rsidR="0019180C" w:rsidRDefault="0019180C">
      <w:pPr>
        <w:suppressAutoHyphens/>
        <w:jc w:val="both"/>
        <w:rPr>
          <w:spacing w:val="-3"/>
        </w:rPr>
      </w:pPr>
    </w:p>
    <w:p w:rsidR="0019180C" w:rsidRDefault="0019180C">
      <w:pPr>
        <w:suppressAutoHyphens/>
        <w:jc w:val="both"/>
        <w:rPr>
          <w:b/>
          <w:spacing w:val="-3"/>
        </w:rPr>
      </w:pPr>
      <w:r>
        <w:rPr>
          <w:b/>
          <w:spacing w:val="-3"/>
        </w:rPr>
        <w:lastRenderedPageBreak/>
        <w:t>Rule 4102    Public Nuisance</w:t>
      </w:r>
    </w:p>
    <w:p w:rsidR="0019180C" w:rsidRDefault="0019180C">
      <w:pPr>
        <w:suppressAutoHyphens/>
        <w:jc w:val="both"/>
        <w:rPr>
          <w:spacing w:val="-3"/>
        </w:rPr>
      </w:pPr>
    </w:p>
    <w:p w:rsidR="0019180C" w:rsidRDefault="0019180C">
      <w:pPr>
        <w:pStyle w:val="BodyTextIndent"/>
        <w:ind w:left="0"/>
      </w:pPr>
      <w:r>
        <w:t>Section 4.0 prohibits discharge of air contaminants which could cause injury, detriment, nuisance or annoyance to the public.  Public nuisance conditions are not expected as a result of these operations, provided the equipment is well maintained.  Therefore, compliance with this rule is expected.</w:t>
      </w:r>
    </w:p>
    <w:p w:rsidR="0019180C" w:rsidRDefault="0019180C">
      <w:pPr>
        <w:pStyle w:val="BodyTextIndent"/>
        <w:ind w:left="0"/>
      </w:pPr>
    </w:p>
    <w:p w:rsidR="0019180C" w:rsidRDefault="0019180C">
      <w:pPr>
        <w:pStyle w:val="BodyTextIndent"/>
      </w:pPr>
      <w:r>
        <w:rPr>
          <w:b/>
          <w:color w:val="000000"/>
        </w:rPr>
        <w:t>California Health &amp; Safety Code 41700</w:t>
      </w:r>
      <w:r>
        <w:rPr>
          <w:b/>
          <w:color w:val="000000"/>
        </w:rPr>
        <w:tab/>
        <w:t>(Health Risk Assessment)</w:t>
      </w:r>
    </w:p>
    <w:p w:rsidR="0019180C" w:rsidRDefault="0019180C">
      <w:pPr>
        <w:suppressAutoHyphens/>
        <w:jc w:val="both"/>
        <w:rPr>
          <w:spacing w:val="-3"/>
        </w:rPr>
      </w:pPr>
    </w:p>
    <w:p w:rsidR="0019180C" w:rsidRDefault="0019180C">
      <w:pPr>
        <w:suppressAutoHyphens/>
        <w:ind w:left="720"/>
      </w:pPr>
      <w:r>
        <w:rPr>
          <w:color w:val="800000"/>
        </w:rPr>
        <w:t>Discuss whether a Health Risk Assessment is required and/or the results of the HRA, including any special conditions to consider when issuing the ATC(s).</w:t>
      </w:r>
    </w:p>
    <w:p w:rsidR="0019180C" w:rsidRDefault="0019180C">
      <w:pPr>
        <w:suppressAutoHyphens/>
        <w:ind w:left="720"/>
      </w:pPr>
    </w:p>
    <w:p w:rsidR="0019180C" w:rsidRDefault="0019180C">
      <w:pPr>
        <w:suppressAutoHyphens/>
        <w:ind w:left="720"/>
        <w:rPr>
          <w:rFonts w:cs="Arial"/>
        </w:rPr>
      </w:pPr>
      <w:r>
        <w:rPr>
          <w:rFonts w:cs="Arial"/>
        </w:rPr>
        <w:t xml:space="preserve">District Policy APR 1905 – </w:t>
      </w:r>
      <w:r>
        <w:rPr>
          <w:spacing w:val="-3"/>
        </w:rPr>
        <w:t>Risk Management Policy for Permitting New and Modified Sources</w:t>
      </w:r>
      <w:r>
        <w:rPr>
          <w:rFonts w:cs="Arial"/>
        </w:rPr>
        <w:t xml:space="preserve"> specifies that for an increase in emissions associated with a proposed new source or modification, the District perform an analysis to determine the possible impact to the nearest resident or worksite.</w:t>
      </w:r>
    </w:p>
    <w:p w:rsidR="0019180C" w:rsidRDefault="0019180C">
      <w:pPr>
        <w:suppressAutoHyphens/>
        <w:ind w:left="720"/>
      </w:pPr>
    </w:p>
    <w:p w:rsidR="0019180C" w:rsidRDefault="0019180C">
      <w:pPr>
        <w:tabs>
          <w:tab w:val="left" w:pos="1890"/>
        </w:tabs>
        <w:autoSpaceDE w:val="0"/>
        <w:autoSpaceDN w:val="0"/>
        <w:adjustRightInd w:val="0"/>
        <w:ind w:left="720"/>
        <w:rPr>
          <w:i/>
          <w:iCs/>
          <w:color w:val="0000FF"/>
        </w:rPr>
      </w:pPr>
      <w:r>
        <w:rPr>
          <w:i/>
          <w:iCs/>
          <w:color w:val="0000FF"/>
          <w:u w:val="single"/>
        </w:rPr>
        <w:t>Example (a)</w:t>
      </w:r>
      <w:r>
        <w:rPr>
          <w:i/>
          <w:iCs/>
          <w:color w:val="0000FF"/>
        </w:rPr>
        <w:t>:</w:t>
      </w:r>
      <w:r>
        <w:rPr>
          <w:i/>
          <w:iCs/>
          <w:color w:val="0000FF"/>
        </w:rPr>
        <w:tab/>
        <w:t>(For a project with no increase in emissions.)</w:t>
      </w:r>
    </w:p>
    <w:p w:rsidR="0019180C" w:rsidRDefault="0019180C">
      <w:pPr>
        <w:tabs>
          <w:tab w:val="left" w:pos="1800"/>
        </w:tabs>
        <w:autoSpaceDE w:val="0"/>
        <w:autoSpaceDN w:val="0"/>
        <w:adjustRightInd w:val="0"/>
        <w:ind w:left="720"/>
        <w:rPr>
          <w:spacing w:val="-2"/>
        </w:rPr>
      </w:pPr>
      <w:r>
        <w:rPr>
          <w:spacing w:val="-2"/>
        </w:rPr>
        <w:t>As demonstrated above, there are no increases in emissions associated with this project, therefore a health risk assessment is not necessary and no further risk analysis is required.</w:t>
      </w:r>
    </w:p>
    <w:p w:rsidR="0019180C" w:rsidRDefault="0019180C">
      <w:pPr>
        <w:ind w:left="720"/>
        <w:rPr>
          <w:i/>
          <w:iCs/>
        </w:rPr>
      </w:pPr>
    </w:p>
    <w:p w:rsidR="0019180C" w:rsidRDefault="0019180C">
      <w:pPr>
        <w:ind w:left="720"/>
        <w:rPr>
          <w:i/>
          <w:iCs/>
          <w:color w:val="FF0000"/>
        </w:rPr>
      </w:pPr>
      <w:r>
        <w:rPr>
          <w:i/>
          <w:iCs/>
          <w:color w:val="FF0000"/>
        </w:rPr>
        <w:t>(</w:t>
      </w:r>
      <w:r>
        <w:rPr>
          <w:i/>
          <w:iCs/>
          <w:color w:val="FF0000"/>
          <w:u w:val="single"/>
        </w:rPr>
        <w:t>Note 1</w:t>
      </w:r>
      <w:r>
        <w:rPr>
          <w:i/>
          <w:iCs/>
          <w:color w:val="FF0000"/>
        </w:rPr>
        <w:t xml:space="preserve">: An HRA is necessary if there is a change in any HRA parameter, i.e. exhaust flow rate changes, stack changes, fuel use and type changes, receptor distances, etc.) </w:t>
      </w:r>
    </w:p>
    <w:p w:rsidR="0019180C" w:rsidRDefault="0019180C">
      <w:pPr>
        <w:ind w:left="720"/>
        <w:rPr>
          <w:i/>
          <w:iCs/>
        </w:rPr>
      </w:pPr>
    </w:p>
    <w:p w:rsidR="0019180C" w:rsidRDefault="0019180C">
      <w:pPr>
        <w:ind w:left="720"/>
        <w:rPr>
          <w:i/>
          <w:iCs/>
          <w:color w:val="FF0000"/>
        </w:rPr>
      </w:pPr>
      <w:r>
        <w:rPr>
          <w:i/>
          <w:iCs/>
          <w:color w:val="FF0000"/>
        </w:rPr>
        <w:t>(</w:t>
      </w:r>
      <w:r>
        <w:rPr>
          <w:i/>
          <w:iCs/>
          <w:color w:val="FF0000"/>
          <w:u w:val="single"/>
        </w:rPr>
        <w:t>Note 2</w:t>
      </w:r>
      <w:r>
        <w:rPr>
          <w:i/>
          <w:iCs/>
          <w:color w:val="FF0000"/>
        </w:rPr>
        <w:t>: If example (a) is used, delete the following sections, since they don’t apply if an HRA was not performed.)</w:t>
      </w:r>
    </w:p>
    <w:p w:rsidR="0019180C" w:rsidRDefault="0019180C">
      <w:pPr>
        <w:tabs>
          <w:tab w:val="left" w:pos="1800"/>
        </w:tabs>
        <w:autoSpaceDE w:val="0"/>
        <w:autoSpaceDN w:val="0"/>
        <w:adjustRightInd w:val="0"/>
        <w:ind w:left="720"/>
      </w:pPr>
    </w:p>
    <w:p w:rsidR="0019180C" w:rsidRDefault="0019180C">
      <w:pPr>
        <w:tabs>
          <w:tab w:val="left" w:pos="1890"/>
        </w:tabs>
        <w:autoSpaceDE w:val="0"/>
        <w:autoSpaceDN w:val="0"/>
        <w:adjustRightInd w:val="0"/>
        <w:ind w:left="720"/>
        <w:rPr>
          <w:i/>
          <w:iCs/>
          <w:color w:val="0000FF"/>
        </w:rPr>
      </w:pPr>
      <w:r>
        <w:rPr>
          <w:i/>
          <w:iCs/>
          <w:color w:val="0000FF"/>
          <w:u w:val="single"/>
        </w:rPr>
        <w:t>Example (b)</w:t>
      </w:r>
      <w:r>
        <w:rPr>
          <w:i/>
          <w:iCs/>
          <w:color w:val="0000FF"/>
        </w:rPr>
        <w:t>:</w:t>
      </w:r>
      <w:r>
        <w:rPr>
          <w:i/>
          <w:iCs/>
          <w:color w:val="0000FF"/>
        </w:rPr>
        <w:tab/>
        <w:t xml:space="preserve">(For a project with a Prioritization score </w:t>
      </w:r>
      <w:r>
        <w:rPr>
          <w:i/>
          <w:iCs/>
          <w:color w:val="0000FF"/>
        </w:rPr>
        <w:sym w:font="Symbol" w:char="F0A3"/>
      </w:r>
      <w:r>
        <w:rPr>
          <w:i/>
          <w:iCs/>
          <w:color w:val="0000FF"/>
        </w:rPr>
        <w:t xml:space="preserve"> 1.)</w:t>
      </w:r>
    </w:p>
    <w:p w:rsidR="0019180C" w:rsidRDefault="0019180C">
      <w:pPr>
        <w:suppressAutoHyphens/>
        <w:ind w:left="720"/>
        <w:rPr>
          <w:color w:val="000000"/>
        </w:rPr>
      </w:pPr>
      <w:r>
        <w:rPr>
          <w:rFonts w:cs="Arial"/>
        </w:rPr>
        <w:t xml:space="preserve">An HRA is not required for a project with a total facility prioritization score of less than or equal to one.  </w:t>
      </w:r>
      <w:r>
        <w:rPr>
          <w:spacing w:val="-2"/>
        </w:rPr>
        <w:t xml:space="preserve">According to the Technical Services </w:t>
      </w:r>
      <w:r>
        <w:rPr>
          <w:color w:val="000000"/>
          <w:spacing w:val="-2"/>
        </w:rPr>
        <w:t>Memo for this project (Appendix X), t</w:t>
      </w:r>
      <w:r>
        <w:rPr>
          <w:rFonts w:cs="Arial"/>
          <w:color w:val="000000"/>
        </w:rPr>
        <w:t xml:space="preserve">he total facility prioritization score including this project was less than or equal to one.  Therefore, no future analysis is required to determine the impact from this project and compliance </w:t>
      </w:r>
      <w:r>
        <w:rPr>
          <w:rFonts w:cs="Arial"/>
        </w:rPr>
        <w:t xml:space="preserve">with the District’s Risk Management Policy </w:t>
      </w:r>
      <w:r>
        <w:rPr>
          <w:rFonts w:cs="Arial"/>
          <w:color w:val="000000"/>
        </w:rPr>
        <w:t>is expected.</w:t>
      </w:r>
    </w:p>
    <w:p w:rsidR="0019180C" w:rsidRDefault="0019180C">
      <w:pPr>
        <w:tabs>
          <w:tab w:val="left" w:pos="1800"/>
        </w:tabs>
        <w:autoSpaceDE w:val="0"/>
        <w:autoSpaceDN w:val="0"/>
        <w:adjustRightInd w:val="0"/>
        <w:ind w:left="720"/>
        <w:rPr>
          <w:i/>
          <w:iCs/>
          <w:u w:val="single"/>
        </w:rPr>
      </w:pPr>
    </w:p>
    <w:p w:rsidR="0019180C" w:rsidRDefault="0019180C">
      <w:pPr>
        <w:tabs>
          <w:tab w:val="left" w:pos="1890"/>
        </w:tabs>
        <w:autoSpaceDE w:val="0"/>
        <w:autoSpaceDN w:val="0"/>
        <w:adjustRightInd w:val="0"/>
        <w:ind w:left="720"/>
        <w:rPr>
          <w:i/>
          <w:iCs/>
          <w:color w:val="0000FF"/>
        </w:rPr>
      </w:pPr>
      <w:r>
        <w:rPr>
          <w:i/>
          <w:iCs/>
          <w:color w:val="0000FF"/>
          <w:u w:val="single"/>
        </w:rPr>
        <w:t>Example (c)</w:t>
      </w:r>
      <w:r>
        <w:rPr>
          <w:i/>
          <w:iCs/>
          <w:color w:val="0000FF"/>
        </w:rPr>
        <w:t>:</w:t>
      </w:r>
      <w:r>
        <w:rPr>
          <w:i/>
          <w:iCs/>
          <w:color w:val="0000FF"/>
        </w:rPr>
        <w:tab/>
        <w:t>(For a project with a Prioritization score &gt; 1.)</w:t>
      </w:r>
    </w:p>
    <w:p w:rsidR="0019180C" w:rsidRDefault="0019180C">
      <w:pPr>
        <w:suppressAutoHyphens/>
        <w:ind w:left="720"/>
        <w:rPr>
          <w:rFonts w:cs="Arial"/>
          <w:color w:val="000000"/>
        </w:rPr>
      </w:pPr>
      <w:r>
        <w:rPr>
          <w:rFonts w:cs="Arial"/>
        </w:rPr>
        <w:t xml:space="preserve">An HRA is not required for a project with a total facility prioritization score of less than one.  </w:t>
      </w:r>
      <w:r>
        <w:rPr>
          <w:spacing w:val="-2"/>
        </w:rPr>
        <w:t xml:space="preserve">According to the Technical Services </w:t>
      </w:r>
      <w:r>
        <w:rPr>
          <w:color w:val="000000"/>
          <w:spacing w:val="-2"/>
        </w:rPr>
        <w:t>Memo for this project (Appendix X), t</w:t>
      </w:r>
      <w:r>
        <w:rPr>
          <w:rFonts w:cs="Arial"/>
          <w:color w:val="000000"/>
        </w:rPr>
        <w:t>he total facility prioritization score including this project was greater than one.  Therefore, a health risk assessment was required to determine the short-term acute and long-term chronic exposure from this project.</w:t>
      </w:r>
    </w:p>
    <w:p w:rsidR="0019180C" w:rsidRDefault="0019180C">
      <w:pPr>
        <w:suppressAutoHyphens/>
        <w:ind w:left="720"/>
        <w:rPr>
          <w:rFonts w:cs="Arial"/>
        </w:rPr>
      </w:pPr>
    </w:p>
    <w:p w:rsidR="0019180C" w:rsidRDefault="0019180C">
      <w:pPr>
        <w:ind w:left="720"/>
        <w:rPr>
          <w:rFonts w:cs="Arial"/>
        </w:rPr>
      </w:pPr>
      <w:r>
        <w:rPr>
          <w:rFonts w:cs="Arial"/>
        </w:rPr>
        <w:t>The cancer risk for this project is shown below:</w:t>
      </w:r>
    </w:p>
    <w:p w:rsidR="0019180C" w:rsidRDefault="0019180C">
      <w:pPr>
        <w:ind w:left="720"/>
        <w:rPr>
          <w:rFonts w:cs="Arial"/>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0"/>
        <w:gridCol w:w="2430"/>
      </w:tblGrid>
      <w:tr w:rsidR="0019180C" w:rsidTr="005722FE">
        <w:trPr>
          <w:cantSplit/>
          <w:trHeight w:val="35"/>
        </w:trPr>
        <w:tc>
          <w:tcPr>
            <w:tcW w:w="7668" w:type="dxa"/>
            <w:gridSpan w:val="3"/>
            <w:tcBorders>
              <w:top w:val="double" w:sz="6" w:space="0" w:color="auto"/>
              <w:left w:val="double" w:sz="6" w:space="0" w:color="auto"/>
              <w:bottom w:val="double" w:sz="6" w:space="0" w:color="auto"/>
              <w:right w:val="double" w:sz="6" w:space="0" w:color="auto"/>
            </w:tcBorders>
            <w:shd w:val="clear" w:color="auto" w:fill="auto"/>
            <w:vAlign w:val="center"/>
          </w:tcPr>
          <w:p w:rsidR="0019180C" w:rsidRDefault="0019180C">
            <w:pPr>
              <w:suppressAutoHyphens/>
              <w:jc w:val="center"/>
            </w:pPr>
            <w:r>
              <w:rPr>
                <w:b/>
                <w:bCs/>
              </w:rPr>
              <w:t>HRA Summary</w:t>
            </w:r>
          </w:p>
        </w:tc>
      </w:tr>
      <w:tr w:rsidR="0019180C" w:rsidTr="005722FE">
        <w:trPr>
          <w:cantSplit/>
          <w:trHeight w:val="35"/>
        </w:trPr>
        <w:tc>
          <w:tcPr>
            <w:tcW w:w="2268" w:type="dxa"/>
            <w:tcBorders>
              <w:top w:val="double" w:sz="6" w:space="0" w:color="auto"/>
              <w:left w:val="double" w:sz="6" w:space="0" w:color="auto"/>
              <w:bottom w:val="single" w:sz="12" w:space="0" w:color="auto"/>
              <w:right w:val="nil"/>
            </w:tcBorders>
            <w:shd w:val="clear" w:color="auto" w:fill="auto"/>
            <w:vAlign w:val="center"/>
          </w:tcPr>
          <w:p w:rsidR="0019180C" w:rsidRDefault="0019180C">
            <w:pPr>
              <w:suppressAutoHyphens/>
              <w:jc w:val="center"/>
            </w:pPr>
            <w:r>
              <w:t>Unit</w:t>
            </w:r>
          </w:p>
        </w:tc>
        <w:tc>
          <w:tcPr>
            <w:tcW w:w="2970" w:type="dxa"/>
            <w:tcBorders>
              <w:top w:val="double" w:sz="6" w:space="0" w:color="auto"/>
              <w:left w:val="single" w:sz="4" w:space="0" w:color="auto"/>
              <w:bottom w:val="single" w:sz="12" w:space="0" w:color="auto"/>
              <w:right w:val="single" w:sz="4" w:space="0" w:color="auto"/>
            </w:tcBorders>
            <w:shd w:val="clear" w:color="auto" w:fill="auto"/>
            <w:vAlign w:val="center"/>
          </w:tcPr>
          <w:p w:rsidR="0019180C" w:rsidRDefault="0019180C">
            <w:pPr>
              <w:suppressAutoHyphens/>
              <w:jc w:val="center"/>
            </w:pPr>
            <w:r>
              <w:t>Cancer Risk</w:t>
            </w:r>
          </w:p>
        </w:tc>
        <w:tc>
          <w:tcPr>
            <w:tcW w:w="2430" w:type="dxa"/>
            <w:tcBorders>
              <w:top w:val="double" w:sz="6" w:space="0" w:color="auto"/>
              <w:left w:val="nil"/>
              <w:bottom w:val="single" w:sz="12" w:space="0" w:color="auto"/>
              <w:right w:val="double" w:sz="6" w:space="0" w:color="auto"/>
            </w:tcBorders>
            <w:shd w:val="clear" w:color="auto" w:fill="auto"/>
            <w:vAlign w:val="center"/>
          </w:tcPr>
          <w:p w:rsidR="0019180C" w:rsidRDefault="0019180C">
            <w:pPr>
              <w:suppressAutoHyphens/>
              <w:jc w:val="center"/>
            </w:pPr>
            <w:r>
              <w:t>T-BACT Required</w:t>
            </w:r>
          </w:p>
        </w:tc>
      </w:tr>
      <w:tr w:rsidR="0019180C">
        <w:trPr>
          <w:cantSplit/>
          <w:trHeight w:val="300"/>
        </w:trPr>
        <w:tc>
          <w:tcPr>
            <w:tcW w:w="2268" w:type="dxa"/>
            <w:tcBorders>
              <w:top w:val="single" w:sz="12" w:space="0" w:color="auto"/>
              <w:left w:val="double" w:sz="6" w:space="0" w:color="auto"/>
              <w:bottom w:val="double" w:sz="6" w:space="0" w:color="auto"/>
            </w:tcBorders>
            <w:vAlign w:val="center"/>
          </w:tcPr>
          <w:p w:rsidR="0019180C" w:rsidRDefault="0019180C">
            <w:pPr>
              <w:suppressAutoHyphens/>
              <w:jc w:val="center"/>
              <w:rPr>
                <w:color w:val="0000FF"/>
              </w:rPr>
            </w:pPr>
            <w:r>
              <w:rPr>
                <w:color w:val="0000FF"/>
              </w:rPr>
              <w:lastRenderedPageBreak/>
              <w:t>X-XXXX-X-X</w:t>
            </w:r>
          </w:p>
        </w:tc>
        <w:tc>
          <w:tcPr>
            <w:tcW w:w="2970" w:type="dxa"/>
            <w:tcBorders>
              <w:top w:val="single" w:sz="12" w:space="0" w:color="auto"/>
              <w:bottom w:val="double" w:sz="6" w:space="0" w:color="auto"/>
            </w:tcBorders>
            <w:vAlign w:val="center"/>
          </w:tcPr>
          <w:p w:rsidR="0019180C" w:rsidRDefault="0019180C">
            <w:pPr>
              <w:suppressAutoHyphens/>
              <w:jc w:val="center"/>
            </w:pPr>
            <w:r>
              <w:rPr>
                <w:color w:val="0000FF"/>
              </w:rPr>
              <w:t>XX</w:t>
            </w:r>
            <w:r>
              <w:t xml:space="preserve"> per million</w:t>
            </w:r>
          </w:p>
        </w:tc>
        <w:tc>
          <w:tcPr>
            <w:tcW w:w="2430" w:type="dxa"/>
            <w:tcBorders>
              <w:top w:val="single" w:sz="12" w:space="0" w:color="auto"/>
              <w:bottom w:val="double" w:sz="6" w:space="0" w:color="auto"/>
              <w:right w:val="double" w:sz="6" w:space="0" w:color="auto"/>
            </w:tcBorders>
            <w:vAlign w:val="center"/>
          </w:tcPr>
          <w:p w:rsidR="0019180C" w:rsidRDefault="0019180C">
            <w:pPr>
              <w:suppressAutoHyphens/>
              <w:jc w:val="center"/>
              <w:rPr>
                <w:color w:val="0000FF"/>
              </w:rPr>
            </w:pPr>
            <w:r>
              <w:rPr>
                <w:color w:val="0000FF"/>
              </w:rPr>
              <w:t>Yes/No</w:t>
            </w:r>
          </w:p>
        </w:tc>
      </w:tr>
    </w:tbl>
    <w:p w:rsidR="0019180C" w:rsidRDefault="0019180C">
      <w:pPr>
        <w:ind w:left="720"/>
        <w:rPr>
          <w:highlight w:val="yellow"/>
        </w:rPr>
      </w:pPr>
    </w:p>
    <w:p w:rsidR="0019180C" w:rsidRDefault="0019180C">
      <w:pPr>
        <w:ind w:left="1440"/>
        <w:rPr>
          <w:b/>
        </w:rPr>
      </w:pPr>
      <w:r>
        <w:rPr>
          <w:b/>
        </w:rPr>
        <w:t>Discussion of T-BACT</w:t>
      </w:r>
    </w:p>
    <w:p w:rsidR="0019180C" w:rsidRDefault="0019180C">
      <w:pPr>
        <w:ind w:left="1440"/>
        <w:rPr>
          <w:spacing w:val="-3"/>
        </w:rPr>
      </w:pPr>
    </w:p>
    <w:p w:rsidR="0019180C" w:rsidRDefault="0019180C">
      <w:pPr>
        <w:suppressAutoHyphens/>
        <w:ind w:left="1440"/>
        <w:rPr>
          <w:color w:val="800000"/>
        </w:rPr>
      </w:pPr>
      <w:r>
        <w:rPr>
          <w:color w:val="800000"/>
        </w:rPr>
        <w:t>Discuss whether a T-BACT is or is not triggered and the requirements which satisfy T-BACT (if any).</w:t>
      </w:r>
    </w:p>
    <w:p w:rsidR="0019180C" w:rsidRDefault="0019180C">
      <w:pPr>
        <w:suppressAutoHyphens/>
        <w:ind w:left="1440"/>
      </w:pPr>
    </w:p>
    <w:p w:rsidR="0019180C" w:rsidRDefault="0019180C">
      <w:pPr>
        <w:tabs>
          <w:tab w:val="left" w:pos="2250"/>
        </w:tabs>
        <w:autoSpaceDE w:val="0"/>
        <w:autoSpaceDN w:val="0"/>
        <w:adjustRightInd w:val="0"/>
        <w:ind w:left="1440"/>
        <w:rPr>
          <w:i/>
          <w:iCs/>
          <w:color w:val="0000FF"/>
        </w:rPr>
      </w:pPr>
      <w:r>
        <w:rPr>
          <w:i/>
          <w:iCs/>
          <w:color w:val="0000FF"/>
          <w:u w:val="single"/>
        </w:rPr>
        <w:t>Example (a)</w:t>
      </w:r>
      <w:r>
        <w:rPr>
          <w:i/>
          <w:iCs/>
          <w:color w:val="0000FF"/>
        </w:rPr>
        <w:t>:</w:t>
      </w:r>
      <w:r>
        <w:rPr>
          <w:i/>
          <w:iCs/>
          <w:color w:val="0000FF"/>
        </w:rPr>
        <w:tab/>
        <w:t>(For a project where T-BACT not triggered.)</w:t>
      </w:r>
    </w:p>
    <w:p w:rsidR="0019180C" w:rsidRDefault="0019180C">
      <w:pPr>
        <w:ind w:left="1440"/>
        <w:rPr>
          <w:highlight w:val="yellow"/>
        </w:rPr>
      </w:pPr>
      <w:r>
        <w:t>BACT for toxic emission control (T-BACT) is required if the cancer risk exceeds one in one million.  As demonstrated above, T-BACT is not required for this project because the HRA indicates that the risk is not above the District’s thresholds for triggering T-BACT requirements;</w:t>
      </w:r>
      <w:r>
        <w:rPr>
          <w:rFonts w:cs="Arial"/>
        </w:rPr>
        <w:t xml:space="preserve"> therefore, compliance with the District’s Risk Management Policy is expected</w:t>
      </w:r>
      <w:r>
        <w:t>.</w:t>
      </w:r>
    </w:p>
    <w:p w:rsidR="0019180C" w:rsidRDefault="0019180C">
      <w:pPr>
        <w:ind w:left="1440"/>
        <w:rPr>
          <w:color w:val="000000"/>
          <w:highlight w:val="yellow"/>
        </w:rPr>
      </w:pPr>
    </w:p>
    <w:p w:rsidR="0019180C" w:rsidRDefault="0019180C">
      <w:pPr>
        <w:autoSpaceDE w:val="0"/>
        <w:autoSpaceDN w:val="0"/>
        <w:adjustRightInd w:val="0"/>
        <w:ind w:left="2970" w:hanging="1530"/>
        <w:rPr>
          <w:i/>
          <w:iCs/>
          <w:color w:val="0000FF"/>
        </w:rPr>
      </w:pPr>
      <w:r>
        <w:rPr>
          <w:i/>
          <w:iCs/>
          <w:color w:val="0000FF"/>
          <w:u w:val="single"/>
        </w:rPr>
        <w:t>Example (b)</w:t>
      </w:r>
      <w:r>
        <w:rPr>
          <w:i/>
          <w:iCs/>
          <w:color w:val="0000FF"/>
        </w:rPr>
        <w:t>:</w:t>
      </w:r>
      <w:r>
        <w:rPr>
          <w:i/>
          <w:iCs/>
          <w:color w:val="0000FF"/>
        </w:rPr>
        <w:tab/>
        <w:t>(For a project where T-BACT is triggered)</w:t>
      </w:r>
    </w:p>
    <w:p w:rsidR="0019180C" w:rsidRDefault="0019180C">
      <w:pPr>
        <w:ind w:left="1440"/>
        <w:rPr>
          <w:color w:val="000000"/>
          <w:highlight w:val="yellow"/>
        </w:rPr>
      </w:pPr>
      <w:r>
        <w:t>BACT for toxic emission control (T-BACT) is required if the cancer risk exceeds one in one million.  As demonstrated above, T-BACT is required for this project because the HRA indicates that the risk is above the District’s thresholds for triggering T-BACT requirements.</w:t>
      </w:r>
    </w:p>
    <w:p w:rsidR="0019180C" w:rsidRDefault="0019180C">
      <w:pPr>
        <w:ind w:left="1440"/>
        <w:rPr>
          <w:color w:val="000000"/>
        </w:rPr>
      </w:pPr>
    </w:p>
    <w:p w:rsidR="0019180C" w:rsidRDefault="0019180C">
      <w:pPr>
        <w:ind w:left="1440"/>
      </w:pPr>
      <w:r>
        <w:t xml:space="preserve">For this project T-BACT is triggered for VOC.  T-BACT is satisfied with BACT for VOC (see </w:t>
      </w:r>
      <w:r>
        <w:rPr>
          <w:color w:val="0000FF"/>
        </w:rPr>
        <w:t>Appendix X</w:t>
      </w:r>
      <w:r>
        <w:t xml:space="preserve">), which is the use of a </w:t>
      </w:r>
      <w:r>
        <w:rPr>
          <w:color w:val="0000FF"/>
          <w:spacing w:val="-3"/>
        </w:rPr>
        <w:t>thermal/catalytic oxidation system</w:t>
      </w:r>
      <w:r>
        <w:rPr>
          <w:spacing w:val="-3"/>
        </w:rPr>
        <w:t xml:space="preserve"> </w:t>
      </w:r>
      <w:r>
        <w:rPr>
          <w:color w:val="0000FF"/>
          <w:spacing w:val="-3"/>
        </w:rPr>
        <w:t>with a 95% or greater control efficiency</w:t>
      </w:r>
      <w:r>
        <w:t>;</w:t>
      </w:r>
      <w:r>
        <w:rPr>
          <w:rFonts w:cs="Arial"/>
        </w:rPr>
        <w:t xml:space="preserve"> therefore, compliance with the District’s Risk Management Policy is expected</w:t>
      </w:r>
      <w:r>
        <w:t>.</w:t>
      </w:r>
    </w:p>
    <w:p w:rsidR="0019180C" w:rsidRDefault="0019180C">
      <w:pPr>
        <w:ind w:left="720"/>
      </w:pPr>
    </w:p>
    <w:p w:rsidR="0019180C" w:rsidRDefault="0019180C">
      <w:pPr>
        <w:ind w:left="1440"/>
        <w:rPr>
          <w:color w:val="FF0000"/>
        </w:rPr>
      </w:pPr>
      <w:r>
        <w:rPr>
          <w:i/>
          <w:iCs/>
          <w:color w:val="FF0000"/>
        </w:rPr>
        <w:t>(</w:t>
      </w:r>
      <w:r>
        <w:rPr>
          <w:i/>
          <w:iCs/>
          <w:color w:val="FF0000"/>
          <w:u w:val="single"/>
        </w:rPr>
        <w:t>Note</w:t>
      </w:r>
      <w:r>
        <w:rPr>
          <w:i/>
          <w:iCs/>
          <w:color w:val="FF0000"/>
        </w:rPr>
        <w:t>: List all conditions necessary to ensure that the equipment is operated in the manner assumed when the RMR was performed.</w:t>
      </w:r>
    </w:p>
    <w:p w:rsidR="0019180C" w:rsidRDefault="0019180C">
      <w:pPr>
        <w:ind w:left="2970"/>
        <w:jc w:val="both"/>
      </w:pPr>
    </w:p>
    <w:p w:rsidR="0019180C" w:rsidRDefault="0019180C">
      <w:pPr>
        <w:pStyle w:val="BodyText"/>
        <w:suppressAutoHyphens/>
        <w:spacing w:after="0"/>
        <w:ind w:left="1440"/>
        <w:jc w:val="both"/>
        <w:rPr>
          <w:rFonts w:ascii="Arial" w:hAnsi="Arial"/>
          <w:sz w:val="24"/>
        </w:rPr>
      </w:pPr>
      <w:r>
        <w:rPr>
          <w:rFonts w:ascii="Arial" w:hAnsi="Arial"/>
          <w:sz w:val="24"/>
        </w:rPr>
        <w:t>See Appendix Il: Health Risk Assessment Summary</w:t>
      </w:r>
    </w:p>
    <w:p w:rsidR="0019180C" w:rsidRDefault="0019180C">
      <w:pPr>
        <w:pStyle w:val="BodyText"/>
        <w:suppressAutoHyphens/>
        <w:spacing w:after="0"/>
        <w:ind w:left="1170"/>
        <w:jc w:val="both"/>
        <w:rPr>
          <w:rFonts w:ascii="Arial" w:hAnsi="Arial"/>
          <w:i/>
          <w:iCs/>
          <w:color w:val="FF0000"/>
          <w:sz w:val="24"/>
        </w:rPr>
      </w:pPr>
    </w:p>
    <w:p w:rsidR="0019180C" w:rsidRDefault="0019180C">
      <w:pPr>
        <w:keepNext/>
        <w:jc w:val="both"/>
        <w:rPr>
          <w:b/>
          <w:bCs/>
        </w:rPr>
      </w:pPr>
      <w:r>
        <w:rPr>
          <w:b/>
          <w:bCs/>
        </w:rPr>
        <w:t>Rule 4651 – Volatile Organic Compounds From Decontamination of Soil</w:t>
      </w:r>
    </w:p>
    <w:p w:rsidR="0019180C" w:rsidRDefault="0019180C">
      <w:pPr>
        <w:keepNext/>
        <w:jc w:val="both"/>
      </w:pPr>
    </w:p>
    <w:p w:rsidR="0019180C" w:rsidRDefault="0019180C">
      <w:pPr>
        <w:pStyle w:val="BodyText3"/>
        <w:suppressAutoHyphens w:val="0"/>
        <w:rPr>
          <w:rFonts w:cs="Arial"/>
          <w:spacing w:val="0"/>
          <w:szCs w:val="24"/>
        </w:rPr>
      </w:pPr>
      <w:r>
        <w:rPr>
          <w:rFonts w:cs="Arial"/>
          <w:spacing w:val="0"/>
          <w:szCs w:val="24"/>
        </w:rPr>
        <w:t>The applicant is not proposing to excavate, transport, handle, ex-situ decontaminate, or dispose contaminated soil.  Therefore, per section 2.0, this rule is not applicable.</w:t>
      </w:r>
    </w:p>
    <w:p w:rsidR="0019180C" w:rsidRDefault="0019180C">
      <w:pPr>
        <w:jc w:val="both"/>
      </w:pPr>
    </w:p>
    <w:p w:rsidR="004342B7" w:rsidRDefault="004342B7" w:rsidP="004342B7">
      <w:pPr>
        <w:rPr>
          <w:b/>
          <w:bCs/>
        </w:rPr>
      </w:pPr>
      <w:r>
        <w:rPr>
          <w:b/>
          <w:bCs/>
        </w:rPr>
        <w:t>California Health &amp; Safety Code 42301.6</w:t>
      </w:r>
      <w:r>
        <w:rPr>
          <w:b/>
          <w:bCs/>
        </w:rPr>
        <w:tab/>
        <w:t>(School Notice)</w:t>
      </w:r>
    </w:p>
    <w:p w:rsidR="004342B7" w:rsidRDefault="004342B7" w:rsidP="004342B7"/>
    <w:p w:rsidR="004342B7" w:rsidRDefault="004342B7" w:rsidP="004342B7">
      <w:pPr>
        <w:rPr>
          <w:color w:val="800000"/>
        </w:rPr>
      </w:pPr>
      <w:r>
        <w:rPr>
          <w:color w:val="800000"/>
        </w:rPr>
        <w:t>Reference project location and its proximity to a school and state whether or not school notice is required for this project.</w:t>
      </w:r>
    </w:p>
    <w:p w:rsidR="004342B7" w:rsidRDefault="004342B7" w:rsidP="004342B7"/>
    <w:p w:rsidR="004342B7" w:rsidRDefault="004342B7" w:rsidP="004342B7">
      <w:pPr>
        <w:tabs>
          <w:tab w:val="left" w:pos="1530"/>
        </w:tabs>
        <w:autoSpaceDE w:val="0"/>
        <w:autoSpaceDN w:val="0"/>
        <w:adjustRightInd w:val="0"/>
        <w:rPr>
          <w:i/>
          <w:iCs/>
          <w:color w:val="0000FF"/>
        </w:rPr>
      </w:pPr>
      <w:r>
        <w:rPr>
          <w:i/>
          <w:iCs/>
          <w:color w:val="0000FF"/>
          <w:u w:val="single"/>
        </w:rPr>
        <w:t>Example (a)</w:t>
      </w:r>
      <w:r>
        <w:rPr>
          <w:i/>
          <w:iCs/>
          <w:color w:val="0000FF"/>
        </w:rPr>
        <w:t>:</w:t>
      </w:r>
      <w:r>
        <w:rPr>
          <w:i/>
          <w:iCs/>
          <w:color w:val="0000FF"/>
        </w:rPr>
        <w:tab/>
        <w:t>(For a Non-School Notice project - &gt; 1,000 feet.)</w:t>
      </w:r>
    </w:p>
    <w:p w:rsidR="004342B7" w:rsidRDefault="004342B7" w:rsidP="004342B7">
      <w:r>
        <w:t>The District has verified that this site is not located within 1,000 feet of a school.  Therefore, pursuant to California Health and Safety Code 42301.6, a school notice is not required.</w:t>
      </w:r>
    </w:p>
    <w:p w:rsidR="004342B7" w:rsidRDefault="004342B7" w:rsidP="004342B7"/>
    <w:p w:rsidR="004342B7" w:rsidRDefault="004342B7" w:rsidP="004342B7">
      <w:pPr>
        <w:tabs>
          <w:tab w:val="left" w:pos="1530"/>
        </w:tabs>
        <w:autoSpaceDE w:val="0"/>
        <w:autoSpaceDN w:val="0"/>
        <w:adjustRightInd w:val="0"/>
        <w:rPr>
          <w:i/>
          <w:iCs/>
          <w:color w:val="0000FF"/>
        </w:rPr>
      </w:pPr>
      <w:r>
        <w:rPr>
          <w:i/>
          <w:iCs/>
          <w:color w:val="0000FF"/>
          <w:u w:val="single"/>
        </w:rPr>
        <w:t>Example (b)</w:t>
      </w:r>
      <w:r>
        <w:rPr>
          <w:i/>
          <w:iCs/>
          <w:color w:val="0000FF"/>
        </w:rPr>
        <w:t>:</w:t>
      </w:r>
      <w:r>
        <w:rPr>
          <w:i/>
          <w:iCs/>
          <w:color w:val="0000FF"/>
        </w:rPr>
        <w:tab/>
        <w:t>(For a Non-School Notice project – no increase in emissions)</w:t>
      </w:r>
    </w:p>
    <w:p w:rsidR="004342B7" w:rsidRDefault="004342B7" w:rsidP="004342B7">
      <w:r>
        <w:lastRenderedPageBreak/>
        <w:t>The District has verified that this site is located within 1,000 feet of a school.  However, pursuant to California Health and Safety Code 42301.6, since this project will not result in an increase in emissions, a school notice is not required.</w:t>
      </w:r>
    </w:p>
    <w:p w:rsidR="004342B7" w:rsidRDefault="004342B7" w:rsidP="004342B7"/>
    <w:p w:rsidR="004342B7" w:rsidRDefault="004342B7" w:rsidP="004342B7">
      <w:pPr>
        <w:tabs>
          <w:tab w:val="left" w:pos="1530"/>
        </w:tabs>
        <w:autoSpaceDE w:val="0"/>
        <w:autoSpaceDN w:val="0"/>
        <w:adjustRightInd w:val="0"/>
        <w:rPr>
          <w:i/>
          <w:iCs/>
          <w:color w:val="0000FF"/>
        </w:rPr>
      </w:pPr>
      <w:r>
        <w:rPr>
          <w:i/>
          <w:iCs/>
          <w:color w:val="0000FF"/>
          <w:u w:val="single"/>
        </w:rPr>
        <w:t>Example (c)</w:t>
      </w:r>
      <w:r>
        <w:rPr>
          <w:i/>
          <w:iCs/>
          <w:color w:val="0000FF"/>
        </w:rPr>
        <w:t>:</w:t>
      </w:r>
      <w:r>
        <w:rPr>
          <w:i/>
          <w:iCs/>
          <w:color w:val="0000FF"/>
        </w:rPr>
        <w:tab/>
        <w:t>(For a School Notice project.)</w:t>
      </w:r>
    </w:p>
    <w:p w:rsidR="004342B7" w:rsidRDefault="004342B7" w:rsidP="004342B7">
      <w:r>
        <w:t>The District has verified that this site is located within 1,000 feet of the following school:</w:t>
      </w:r>
    </w:p>
    <w:p w:rsidR="004342B7" w:rsidRDefault="004342B7" w:rsidP="004342B7"/>
    <w:p w:rsidR="004342B7" w:rsidRDefault="004342B7" w:rsidP="004342B7">
      <w:pPr>
        <w:rPr>
          <w:color w:val="0000FF"/>
        </w:rPr>
      </w:pPr>
      <w:r>
        <w:t xml:space="preserve">School Name: </w:t>
      </w:r>
      <w:r>
        <w:tab/>
      </w:r>
      <w:r>
        <w:rPr>
          <w:color w:val="0000FF"/>
        </w:rPr>
        <w:t>[Name]</w:t>
      </w:r>
    </w:p>
    <w:p w:rsidR="004342B7" w:rsidRDefault="004342B7" w:rsidP="004342B7">
      <w:pPr>
        <w:rPr>
          <w:color w:val="0000FF"/>
        </w:rPr>
      </w:pPr>
      <w:r>
        <w:t>Address:</w:t>
      </w:r>
      <w:r>
        <w:rPr>
          <w:color w:val="0000FF"/>
        </w:rPr>
        <w:tab/>
      </w:r>
      <w:r>
        <w:rPr>
          <w:color w:val="0000FF"/>
        </w:rPr>
        <w:tab/>
        <w:t>[Address]</w:t>
      </w:r>
    </w:p>
    <w:p w:rsidR="004342B7" w:rsidRDefault="004342B7" w:rsidP="004342B7">
      <w:pPr>
        <w:rPr>
          <w:color w:val="0000FF"/>
        </w:rPr>
      </w:pPr>
    </w:p>
    <w:p w:rsidR="004342B7" w:rsidRDefault="004342B7" w:rsidP="004342B7">
      <w:r>
        <w:t xml:space="preserve">Therefore, pursuant to California Health and Safety Code 42301.6, a school notice is required. </w:t>
      </w:r>
    </w:p>
    <w:p w:rsidR="004342B7" w:rsidRDefault="004342B7" w:rsidP="004342B7">
      <w:r>
        <w:t xml:space="preserve">Prior to the issuance of the ATC for this equipment, notices will be provided to the parents/guardians of all students of the affected school, and will be sent to all residents within 1,000 </w:t>
      </w:r>
      <w:r w:rsidR="00712359">
        <w:t>ft.</w:t>
      </w:r>
      <w:r>
        <w:t xml:space="preserve"> of the site.  </w:t>
      </w:r>
    </w:p>
    <w:p w:rsidR="004342B7" w:rsidRDefault="004342B7" w:rsidP="004342B7"/>
    <w:p w:rsidR="004342B7" w:rsidRPr="004342B7" w:rsidRDefault="004342B7" w:rsidP="004342B7">
      <w:pPr>
        <w:pStyle w:val="BodyText3"/>
        <w:rPr>
          <w:color w:val="0000FF"/>
        </w:rPr>
      </w:pPr>
      <w:r w:rsidRPr="004342B7">
        <w:rPr>
          <w:color w:val="0000FF"/>
        </w:rPr>
        <w:t xml:space="preserve">[If there is no school w/in ¼ mile of the emissions increase, include the following discussion, otherwise delete]: </w:t>
      </w:r>
    </w:p>
    <w:p w:rsidR="004342B7" w:rsidRDefault="004342B7" w:rsidP="004342B7">
      <w:r>
        <w:t>The District has verified that there are no additional schools within ¼ mile of the emission source.</w:t>
      </w:r>
    </w:p>
    <w:p w:rsidR="004342B7" w:rsidRDefault="004342B7" w:rsidP="004342B7"/>
    <w:p w:rsidR="004342B7" w:rsidRPr="004342B7" w:rsidRDefault="004342B7" w:rsidP="004342B7">
      <w:pPr>
        <w:pStyle w:val="BodyText3"/>
        <w:rPr>
          <w:color w:val="0000FF"/>
        </w:rPr>
      </w:pPr>
      <w:r w:rsidRPr="004342B7">
        <w:rPr>
          <w:color w:val="0000FF"/>
        </w:rPr>
        <w:t xml:space="preserve">[If there is a school w/in ¼ mile of the emissions increase, include the following discussion, otherwise delete]: </w:t>
      </w:r>
    </w:p>
    <w:p w:rsidR="004342B7" w:rsidRDefault="004342B7" w:rsidP="004342B7">
      <w:r>
        <w:t>Since a school notice has been triggered (due to the above-listed school within 1,000 of the emission source), notices will also be provided to the parents/guardians of all students from all school sites within ¼ mile of the emission source.  The following schools(s) are within ¼ mile of the emission source:</w:t>
      </w:r>
    </w:p>
    <w:p w:rsidR="004342B7" w:rsidRDefault="004342B7" w:rsidP="004342B7"/>
    <w:p w:rsidR="004342B7" w:rsidRDefault="004342B7" w:rsidP="004342B7">
      <w:pPr>
        <w:rPr>
          <w:color w:val="0000FF"/>
        </w:rPr>
      </w:pPr>
      <w:r>
        <w:t xml:space="preserve">School Name: </w:t>
      </w:r>
      <w:r>
        <w:tab/>
      </w:r>
      <w:r>
        <w:rPr>
          <w:color w:val="0000FF"/>
        </w:rPr>
        <w:t>[Name]</w:t>
      </w:r>
    </w:p>
    <w:p w:rsidR="004342B7" w:rsidRDefault="004342B7" w:rsidP="004342B7">
      <w:pPr>
        <w:rPr>
          <w:color w:val="0000FF"/>
        </w:rPr>
      </w:pPr>
      <w:r>
        <w:t>Address:</w:t>
      </w:r>
      <w:r>
        <w:rPr>
          <w:color w:val="0000FF"/>
        </w:rPr>
        <w:tab/>
      </w:r>
      <w:r>
        <w:rPr>
          <w:color w:val="0000FF"/>
        </w:rPr>
        <w:tab/>
        <w:t>[Address]</w:t>
      </w:r>
    </w:p>
    <w:p w:rsidR="004342B7" w:rsidRPr="004342B7" w:rsidRDefault="004342B7" w:rsidP="004342B7">
      <w:pPr>
        <w:pStyle w:val="BodyText3"/>
        <w:rPr>
          <w:color w:val="0000FF"/>
        </w:rPr>
      </w:pPr>
      <w:r w:rsidRPr="004342B7">
        <w:rPr>
          <w:color w:val="0000FF"/>
        </w:rPr>
        <w:t>(add additional schools if necessary)</w:t>
      </w:r>
    </w:p>
    <w:p w:rsidR="004342B7" w:rsidRDefault="004342B7" w:rsidP="004342B7">
      <w:pPr>
        <w:autoSpaceDE w:val="0"/>
        <w:autoSpaceDN w:val="0"/>
        <w:adjustRightInd w:val="0"/>
      </w:pPr>
    </w:p>
    <w:p w:rsidR="00596063" w:rsidRDefault="004342B7" w:rsidP="004342B7">
      <w:pPr>
        <w:rPr>
          <w:i/>
          <w:iCs/>
          <w:color w:val="FF0000"/>
        </w:rPr>
      </w:pPr>
      <w:r>
        <w:rPr>
          <w:i/>
          <w:iCs/>
          <w:color w:val="FF0000"/>
        </w:rPr>
        <w:t>(</w:t>
      </w:r>
      <w:r>
        <w:rPr>
          <w:i/>
          <w:iCs/>
          <w:color w:val="FF0000"/>
          <w:u w:val="single"/>
        </w:rPr>
        <w:t>Note</w:t>
      </w:r>
      <w:r>
        <w:rPr>
          <w:i/>
          <w:iCs/>
          <w:color w:val="FF0000"/>
        </w:rPr>
        <w:t xml:space="preserve">: Refer to </w:t>
      </w:r>
      <w:hyperlink r:id="rId10" w:history="1">
        <w:r>
          <w:rPr>
            <w:rStyle w:val="Hyperlink"/>
            <w:i/>
            <w:iCs/>
            <w:color w:val="FF0000"/>
          </w:rPr>
          <w:t>FYI - 71</w:t>
        </w:r>
      </w:hyperlink>
      <w:r>
        <w:rPr>
          <w:i/>
          <w:iCs/>
          <w:color w:val="FF0000"/>
        </w:rPr>
        <w:t xml:space="preserve"> for guidance on how to process a School Notice project.)</w:t>
      </w:r>
    </w:p>
    <w:p w:rsidR="004342B7" w:rsidRPr="002322C1" w:rsidRDefault="004342B7" w:rsidP="004342B7">
      <w:pPr>
        <w:rPr>
          <w:iCs/>
          <w:color w:val="000000"/>
        </w:rPr>
      </w:pPr>
    </w:p>
    <w:p w:rsidR="0019180C" w:rsidRDefault="0019180C">
      <w:pPr>
        <w:adjustRightInd w:val="0"/>
        <w:spacing w:before="100" w:after="100"/>
        <w:rPr>
          <w:rFonts w:cs="Arial"/>
          <w:b/>
          <w:bCs/>
          <w:color w:val="000000"/>
          <w:spacing w:val="-3"/>
        </w:rPr>
      </w:pPr>
      <w:bookmarkStart w:id="2" w:name="OLE_LINK3"/>
      <w:r>
        <w:rPr>
          <w:rFonts w:cs="Arial"/>
          <w:b/>
          <w:bCs/>
          <w:color w:val="000000"/>
          <w:spacing w:val="-3"/>
        </w:rPr>
        <w:t>California Environmental Quality Act (CEQA)</w:t>
      </w:r>
    </w:p>
    <w:p w:rsidR="0019180C" w:rsidRDefault="0019180C"/>
    <w:bookmarkEnd w:id="2"/>
    <w:p w:rsidR="0019180C" w:rsidRDefault="0019180C">
      <w:pPr>
        <w:jc w:val="both"/>
        <w:rPr>
          <w:rFonts w:cs="Arial"/>
          <w:color w:val="000000"/>
          <w:szCs w:val="24"/>
        </w:rPr>
      </w:pPr>
      <w:r>
        <w:rPr>
          <w:rFonts w:cs="Arial"/>
          <w:color w:val="000000"/>
          <w:szCs w:val="24"/>
        </w:rPr>
        <w:t xml:space="preserve">The California Environmental Quality Act (CEQA) requires each public agency to adopt objectives, criteria, and specific procedures consistent with CEQA Statutes and the CEQA Guidelines for administering its responsibilities under CEQA, including the orderly evaluation of projects and preparation of environmental documents.  The San Joaquin Valley Unified Air Pollution Control District (District) adopted its </w:t>
      </w:r>
      <w:r>
        <w:rPr>
          <w:rFonts w:cs="Arial"/>
          <w:i/>
          <w:iCs/>
          <w:color w:val="000000"/>
          <w:szCs w:val="24"/>
        </w:rPr>
        <w:t>Environmental Review Guidelines</w:t>
      </w:r>
      <w:r>
        <w:rPr>
          <w:rFonts w:cs="Arial"/>
          <w:color w:val="000000"/>
          <w:szCs w:val="24"/>
        </w:rPr>
        <w:t xml:space="preserve"> (ERG) in 2001.  </w:t>
      </w:r>
    </w:p>
    <w:p w:rsidR="0019180C" w:rsidRDefault="0019180C">
      <w:pPr>
        <w:jc w:val="both"/>
        <w:rPr>
          <w:rFonts w:cs="Arial"/>
          <w:color w:val="000000"/>
          <w:szCs w:val="24"/>
        </w:rPr>
      </w:pPr>
    </w:p>
    <w:p w:rsidR="0019180C" w:rsidRDefault="0019180C">
      <w:pPr>
        <w:jc w:val="both"/>
        <w:rPr>
          <w:rFonts w:cs="Arial"/>
          <w:color w:val="000000"/>
          <w:szCs w:val="24"/>
        </w:rPr>
      </w:pPr>
      <w:r>
        <w:rPr>
          <w:rFonts w:cs="Arial"/>
          <w:color w:val="000000"/>
          <w:szCs w:val="24"/>
        </w:rPr>
        <w:t>The basic purposes of CEQA are to:</w:t>
      </w:r>
    </w:p>
    <w:p w:rsidR="0019180C" w:rsidRDefault="0019180C">
      <w:pPr>
        <w:jc w:val="both"/>
        <w:rPr>
          <w:rFonts w:cs="Arial"/>
          <w:color w:val="000000"/>
          <w:szCs w:val="24"/>
        </w:rPr>
      </w:pPr>
    </w:p>
    <w:p w:rsidR="0019180C" w:rsidRDefault="0019180C">
      <w:pPr>
        <w:widowControl w:val="0"/>
        <w:numPr>
          <w:ilvl w:val="0"/>
          <w:numId w:val="18"/>
        </w:numPr>
        <w:jc w:val="both"/>
        <w:rPr>
          <w:rFonts w:cs="Arial"/>
          <w:color w:val="000000"/>
          <w:szCs w:val="24"/>
        </w:rPr>
      </w:pPr>
      <w:r>
        <w:rPr>
          <w:rFonts w:cs="Arial"/>
          <w:color w:val="000000"/>
          <w:szCs w:val="24"/>
        </w:rPr>
        <w:t xml:space="preserve">Inform governmental decision-makers and the public about the potential, significant </w:t>
      </w:r>
      <w:r>
        <w:rPr>
          <w:rFonts w:cs="Arial"/>
          <w:color w:val="000000"/>
          <w:szCs w:val="24"/>
        </w:rPr>
        <w:lastRenderedPageBreak/>
        <w:t>environmental effects of proposed activities.</w:t>
      </w:r>
    </w:p>
    <w:p w:rsidR="0019180C" w:rsidRDefault="0019180C">
      <w:pPr>
        <w:widowControl w:val="0"/>
        <w:numPr>
          <w:ilvl w:val="0"/>
          <w:numId w:val="18"/>
        </w:numPr>
        <w:jc w:val="both"/>
        <w:rPr>
          <w:rFonts w:cs="Arial"/>
          <w:color w:val="000000"/>
          <w:szCs w:val="24"/>
        </w:rPr>
      </w:pPr>
      <w:r>
        <w:rPr>
          <w:rFonts w:cs="Arial"/>
          <w:color w:val="000000"/>
          <w:szCs w:val="24"/>
        </w:rPr>
        <w:t>Identify the ways that environmental damage can be avoided or significantly reduced.</w:t>
      </w:r>
    </w:p>
    <w:p w:rsidR="0019180C" w:rsidRDefault="0019180C">
      <w:pPr>
        <w:widowControl w:val="0"/>
        <w:numPr>
          <w:ilvl w:val="0"/>
          <w:numId w:val="18"/>
        </w:numPr>
        <w:jc w:val="both"/>
        <w:rPr>
          <w:rFonts w:cs="Arial"/>
          <w:color w:val="000000"/>
          <w:szCs w:val="24"/>
        </w:rPr>
      </w:pPr>
      <w:r>
        <w:rPr>
          <w:rFonts w:cs="Arial"/>
          <w:color w:val="000000"/>
          <w:szCs w:val="24"/>
        </w:rPr>
        <w:t>Prevent significant, avoidable damage to the environment by requiring changes in projects through the use of alternatives or mitigation measures when the governmental agency finds the changes to be feasible.</w:t>
      </w:r>
    </w:p>
    <w:p w:rsidR="0019180C" w:rsidRDefault="0019180C">
      <w:pPr>
        <w:widowControl w:val="0"/>
        <w:numPr>
          <w:ilvl w:val="0"/>
          <w:numId w:val="18"/>
        </w:numPr>
        <w:jc w:val="both"/>
        <w:rPr>
          <w:rFonts w:cs="Arial"/>
          <w:color w:val="000000"/>
          <w:szCs w:val="24"/>
        </w:rPr>
      </w:pPr>
      <w:r>
        <w:rPr>
          <w:rFonts w:cs="Arial"/>
          <w:color w:val="000000"/>
          <w:szCs w:val="24"/>
        </w:rPr>
        <w:t>Disclose to the public the reasons why a governmental agency approved the project in the manner the agency chose if significant environmental effects are involved.</w:t>
      </w:r>
    </w:p>
    <w:p w:rsidR="0019180C" w:rsidRDefault="0019180C">
      <w:pPr>
        <w:jc w:val="both"/>
        <w:rPr>
          <w:rFonts w:cs="Arial"/>
          <w:szCs w:val="24"/>
        </w:rPr>
      </w:pPr>
    </w:p>
    <w:p w:rsidR="0019180C" w:rsidRDefault="0019180C">
      <w:pPr>
        <w:jc w:val="both"/>
        <w:rPr>
          <w:rFonts w:cs="Arial"/>
          <w:szCs w:val="24"/>
        </w:rPr>
      </w:pPr>
      <w:r>
        <w:rPr>
          <w:rFonts w:cs="Arial"/>
          <w:szCs w:val="24"/>
        </w:rPr>
        <w:t>Consistent with California Environmental Quality Act (CEQA) and CEQA Guidelines requirements, the San Joaquin Valley Air Pollution Control District (District) has adopted procedures and guidelines for implementing CEQA.  The District’s Environmental Review Guidelines (ERG) establishes procedures for avoiding unnecessary delay during the District’s permitting process while ensuring that significant environmental impacts are thoroughly and consistently addressed.  The ERG includes policies and procedures to be followed when processing permits for projects that are exempt under CEQA.</w:t>
      </w:r>
    </w:p>
    <w:p w:rsidR="0019180C" w:rsidRDefault="0019180C">
      <w:pPr>
        <w:jc w:val="both"/>
        <w:rPr>
          <w:rFonts w:cs="Arial"/>
          <w:szCs w:val="24"/>
        </w:rPr>
      </w:pPr>
    </w:p>
    <w:p w:rsidR="0019180C" w:rsidRDefault="0019180C">
      <w:pPr>
        <w:jc w:val="both"/>
        <w:rPr>
          <w:rFonts w:cs="Arial"/>
          <w:szCs w:val="24"/>
        </w:rPr>
      </w:pPr>
      <w:r>
        <w:rPr>
          <w:rFonts w:cs="Arial"/>
          <w:szCs w:val="24"/>
        </w:rPr>
        <w:t xml:space="preserve">The State Legislature granted a number of exemptions from CEQA, including projects that require only ministerial approval.  Based upon analysis of its own laws and consideration of CEQA provisions, the District has identified a limited number of District permitting activities considered to be ministerial approvals.  As set forth in §4.2.1 of the ERG, projects permitted consistent with the District’s </w:t>
      </w:r>
      <w:r>
        <w:rPr>
          <w:rFonts w:cs="Arial"/>
          <w:i/>
          <w:szCs w:val="24"/>
        </w:rPr>
        <w:t>Guidelines for Expedited Application Review</w:t>
      </w:r>
      <w:r>
        <w:rPr>
          <w:rFonts w:cs="Arial"/>
          <w:szCs w:val="24"/>
        </w:rPr>
        <w:t xml:space="preserve"> (GEAR) are standard application reviews in which little or no discretion is used in issuing Authority to Construct (ATC) documents.</w:t>
      </w:r>
    </w:p>
    <w:p w:rsidR="0019180C" w:rsidRDefault="0019180C">
      <w:pPr>
        <w:jc w:val="both"/>
        <w:rPr>
          <w:rFonts w:cs="Arial"/>
          <w:szCs w:val="24"/>
        </w:rPr>
      </w:pPr>
    </w:p>
    <w:p w:rsidR="0019180C" w:rsidRDefault="0019180C">
      <w:pPr>
        <w:jc w:val="both"/>
        <w:rPr>
          <w:rFonts w:cs="Arial"/>
          <w:szCs w:val="24"/>
        </w:rPr>
      </w:pPr>
      <w:r>
        <w:rPr>
          <w:rFonts w:cs="Arial"/>
          <w:szCs w:val="24"/>
        </w:rPr>
        <w:t>For the proposed project, the District performed an Engineering Evaluation (this document) and determined that the project qualifies for processing under the procedures set forth in the District’s Permit Services Procedures Manual in the Guidelines for Expedited Application Review (GEAR).  Thus, as discussed above, this issuance of such ATC(s) is a ministerial approval for the District and is not subject to CEQA provisions.</w:t>
      </w:r>
    </w:p>
    <w:p w:rsidR="0019180C" w:rsidRDefault="0019180C">
      <w:pPr>
        <w:jc w:val="both"/>
        <w:rPr>
          <w:rFonts w:cs="Arial"/>
          <w:szCs w:val="24"/>
        </w:rPr>
      </w:pPr>
    </w:p>
    <w:p w:rsidR="0019180C" w:rsidRDefault="0019180C">
      <w:pPr>
        <w:pStyle w:val="Heading1"/>
      </w:pPr>
      <w:r>
        <w:t>Recommendations</w:t>
      </w:r>
    </w:p>
    <w:p w:rsidR="0019180C" w:rsidRDefault="0019180C"/>
    <w:p w:rsidR="0019180C" w:rsidRDefault="0019180C">
      <w:pPr>
        <w:tabs>
          <w:tab w:val="left" w:pos="-720"/>
          <w:tab w:val="left" w:pos="0"/>
        </w:tabs>
        <w:suppressAutoHyphens/>
      </w:pPr>
      <w:r>
        <w:t xml:space="preserve">Issue Authority to Construct </w:t>
      </w:r>
      <w:r>
        <w:rPr>
          <w:color w:val="0000FF"/>
        </w:rPr>
        <w:t>C-xxxx-x-x</w:t>
      </w:r>
      <w:r>
        <w:t xml:space="preserve"> subject to the permit conditions on the attached draft Authority to Construct.</w:t>
      </w:r>
    </w:p>
    <w:p w:rsidR="0019180C" w:rsidRDefault="0019180C">
      <w:pPr>
        <w:tabs>
          <w:tab w:val="left" w:pos="-720"/>
        </w:tabs>
        <w:suppressAutoHyphens/>
      </w:pPr>
    </w:p>
    <w:p w:rsidR="0019180C" w:rsidRDefault="0019180C">
      <w:pPr>
        <w:pStyle w:val="Heading1"/>
      </w:pPr>
      <w:r>
        <w:lastRenderedPageBreak/>
        <w:t>Billing Information</w:t>
      </w:r>
    </w:p>
    <w:p w:rsidR="0019180C" w:rsidRDefault="0019180C">
      <w:pPr>
        <w:keepNext/>
        <w:tabs>
          <w:tab w:val="left" w:pos="1530"/>
        </w:tabs>
        <w:autoSpaceDE w:val="0"/>
        <w:autoSpaceDN w:val="0"/>
        <w:adjustRightInd w:val="0"/>
        <w:rPr>
          <w:color w:val="0000FF"/>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52"/>
        <w:gridCol w:w="1890"/>
        <w:gridCol w:w="1980"/>
        <w:gridCol w:w="1530"/>
      </w:tblGrid>
      <w:tr w:rsidR="0019180C" w:rsidTr="005722FE">
        <w:tc>
          <w:tcPr>
            <w:tcW w:w="7452" w:type="dxa"/>
            <w:gridSpan w:val="4"/>
            <w:tcBorders>
              <w:top w:val="double" w:sz="4" w:space="0" w:color="auto"/>
              <w:left w:val="double" w:sz="4" w:space="0" w:color="auto"/>
              <w:bottom w:val="nil"/>
              <w:right w:val="double" w:sz="4" w:space="0" w:color="auto"/>
            </w:tcBorders>
            <w:shd w:val="clear" w:color="auto" w:fill="auto"/>
          </w:tcPr>
          <w:p w:rsidR="0019180C" w:rsidRDefault="0019180C">
            <w:pPr>
              <w:keepNext/>
              <w:jc w:val="center"/>
              <w:rPr>
                <w:b/>
                <w:bCs/>
              </w:rPr>
            </w:pPr>
            <w:r>
              <w:rPr>
                <w:b/>
                <w:bCs/>
              </w:rPr>
              <w:t>Annual Permit Fees</w:t>
            </w:r>
          </w:p>
        </w:tc>
      </w:tr>
      <w:tr w:rsidR="0019180C" w:rsidTr="005722FE">
        <w:tc>
          <w:tcPr>
            <w:tcW w:w="2052" w:type="dxa"/>
            <w:tcBorders>
              <w:top w:val="double" w:sz="4" w:space="0" w:color="auto"/>
              <w:left w:val="double" w:sz="4" w:space="0" w:color="auto"/>
              <w:bottom w:val="single" w:sz="12" w:space="0" w:color="auto"/>
              <w:right w:val="single" w:sz="4" w:space="0" w:color="auto"/>
            </w:tcBorders>
            <w:shd w:val="clear" w:color="auto" w:fill="auto"/>
          </w:tcPr>
          <w:p w:rsidR="0019180C" w:rsidRDefault="0019180C">
            <w:pPr>
              <w:keepNext/>
            </w:pPr>
            <w:r>
              <w:t>Permit Number</w:t>
            </w:r>
          </w:p>
        </w:tc>
        <w:tc>
          <w:tcPr>
            <w:tcW w:w="1890" w:type="dxa"/>
            <w:tcBorders>
              <w:top w:val="double" w:sz="4" w:space="0" w:color="auto"/>
              <w:left w:val="nil"/>
              <w:bottom w:val="single" w:sz="12" w:space="0" w:color="auto"/>
              <w:right w:val="single" w:sz="4" w:space="0" w:color="auto"/>
            </w:tcBorders>
            <w:shd w:val="clear" w:color="auto" w:fill="auto"/>
          </w:tcPr>
          <w:p w:rsidR="0019180C" w:rsidRDefault="0019180C">
            <w:pPr>
              <w:keepNext/>
            </w:pPr>
            <w:r>
              <w:t>Fee Schedule</w:t>
            </w:r>
          </w:p>
        </w:tc>
        <w:tc>
          <w:tcPr>
            <w:tcW w:w="1980" w:type="dxa"/>
            <w:tcBorders>
              <w:top w:val="double" w:sz="4" w:space="0" w:color="auto"/>
              <w:left w:val="nil"/>
              <w:bottom w:val="single" w:sz="12" w:space="0" w:color="auto"/>
              <w:right w:val="single" w:sz="4" w:space="0" w:color="auto"/>
            </w:tcBorders>
            <w:shd w:val="clear" w:color="auto" w:fill="auto"/>
          </w:tcPr>
          <w:p w:rsidR="0019180C" w:rsidRDefault="0019180C">
            <w:pPr>
              <w:keepNext/>
            </w:pPr>
            <w:r>
              <w:t>Fee Description</w:t>
            </w:r>
          </w:p>
        </w:tc>
        <w:tc>
          <w:tcPr>
            <w:tcW w:w="1530" w:type="dxa"/>
            <w:tcBorders>
              <w:top w:val="double" w:sz="4" w:space="0" w:color="auto"/>
              <w:left w:val="nil"/>
              <w:bottom w:val="single" w:sz="12" w:space="0" w:color="auto"/>
              <w:right w:val="double" w:sz="4" w:space="0" w:color="auto"/>
            </w:tcBorders>
            <w:shd w:val="clear" w:color="auto" w:fill="auto"/>
          </w:tcPr>
          <w:p w:rsidR="0019180C" w:rsidRDefault="0019180C">
            <w:pPr>
              <w:keepNext/>
            </w:pPr>
            <w:r>
              <w:t>Annual Fee</w:t>
            </w:r>
          </w:p>
        </w:tc>
      </w:tr>
      <w:tr w:rsidR="0019180C">
        <w:trPr>
          <w:cantSplit/>
          <w:trHeight w:val="362"/>
        </w:trPr>
        <w:tc>
          <w:tcPr>
            <w:tcW w:w="2052" w:type="dxa"/>
            <w:tcBorders>
              <w:top w:val="single" w:sz="4" w:space="0" w:color="auto"/>
              <w:left w:val="double" w:sz="4" w:space="0" w:color="auto"/>
              <w:bottom w:val="double" w:sz="4" w:space="0" w:color="auto"/>
              <w:right w:val="single" w:sz="4" w:space="0" w:color="auto"/>
            </w:tcBorders>
          </w:tcPr>
          <w:p w:rsidR="0019180C" w:rsidRDefault="0019180C">
            <w:pPr>
              <w:keepNext/>
              <w:rPr>
                <w:snapToGrid w:val="0"/>
                <w:color w:val="0000FF"/>
              </w:rPr>
            </w:pPr>
            <w:r>
              <w:rPr>
                <w:snapToGrid w:val="0"/>
                <w:color w:val="0000FF"/>
              </w:rPr>
              <w:t>C-XXXX-X-X</w:t>
            </w:r>
          </w:p>
        </w:tc>
        <w:tc>
          <w:tcPr>
            <w:tcW w:w="1890" w:type="dxa"/>
            <w:tcBorders>
              <w:top w:val="single" w:sz="4" w:space="0" w:color="auto"/>
              <w:left w:val="nil"/>
              <w:bottom w:val="double" w:sz="4" w:space="0" w:color="auto"/>
              <w:right w:val="single" w:sz="4" w:space="0" w:color="auto"/>
            </w:tcBorders>
          </w:tcPr>
          <w:p w:rsidR="0019180C" w:rsidRDefault="0019180C">
            <w:pPr>
              <w:keepNext/>
              <w:rPr>
                <w:color w:val="0000FF"/>
              </w:rPr>
            </w:pPr>
            <w:r>
              <w:rPr>
                <w:color w:val="0000FF"/>
              </w:rPr>
              <w:t>3020-01-[ ]</w:t>
            </w:r>
          </w:p>
          <w:p w:rsidR="0019180C" w:rsidRDefault="0019180C">
            <w:pPr>
              <w:keepNext/>
              <w:rPr>
                <w:color w:val="0000FF"/>
              </w:rPr>
            </w:pPr>
          </w:p>
          <w:p w:rsidR="0019180C" w:rsidRDefault="0019180C">
            <w:pPr>
              <w:keepNext/>
              <w:rPr>
                <w:color w:val="0000FF"/>
              </w:rPr>
            </w:pPr>
            <w:r>
              <w:rPr>
                <w:color w:val="0000FF"/>
              </w:rPr>
              <w:t>*use fuel burning fee schedule if it results in higher fees</w:t>
            </w:r>
            <w:r w:rsidR="00443525">
              <w:rPr>
                <w:color w:val="0000FF"/>
              </w:rPr>
              <w:t xml:space="preserve"> (when applicable)</w:t>
            </w:r>
          </w:p>
        </w:tc>
        <w:tc>
          <w:tcPr>
            <w:tcW w:w="1980" w:type="dxa"/>
            <w:tcBorders>
              <w:top w:val="single" w:sz="4" w:space="0" w:color="auto"/>
              <w:left w:val="nil"/>
              <w:bottom w:val="double" w:sz="4" w:space="0" w:color="auto"/>
              <w:right w:val="single" w:sz="4" w:space="0" w:color="auto"/>
            </w:tcBorders>
          </w:tcPr>
          <w:p w:rsidR="0019180C" w:rsidRDefault="0019180C">
            <w:pPr>
              <w:keepNext/>
              <w:rPr>
                <w:color w:val="0000FF"/>
              </w:rPr>
            </w:pPr>
            <w:r>
              <w:rPr>
                <w:color w:val="0000FF"/>
              </w:rPr>
              <w:t>[ ] Electric HP</w:t>
            </w:r>
          </w:p>
        </w:tc>
        <w:tc>
          <w:tcPr>
            <w:tcW w:w="1530" w:type="dxa"/>
            <w:tcBorders>
              <w:top w:val="single" w:sz="4" w:space="0" w:color="auto"/>
              <w:left w:val="nil"/>
              <w:bottom w:val="double" w:sz="4" w:space="0" w:color="auto"/>
              <w:right w:val="double" w:sz="4" w:space="0" w:color="auto"/>
            </w:tcBorders>
          </w:tcPr>
          <w:p w:rsidR="0019180C" w:rsidRDefault="0019180C">
            <w:pPr>
              <w:keepNext/>
              <w:rPr>
                <w:color w:val="0000FF"/>
              </w:rPr>
            </w:pPr>
            <w:r>
              <w:rPr>
                <w:color w:val="0000FF"/>
              </w:rPr>
              <w:t>$882.00</w:t>
            </w:r>
          </w:p>
        </w:tc>
      </w:tr>
    </w:tbl>
    <w:p w:rsidR="0019180C" w:rsidRDefault="0019180C">
      <w:pPr>
        <w:rPr>
          <w:color w:val="000000"/>
        </w:rPr>
      </w:pPr>
    </w:p>
    <w:p w:rsidR="0019180C" w:rsidRDefault="0019180C">
      <w:pPr>
        <w:keepNext/>
        <w:suppressAutoHyphens/>
        <w:jc w:val="both"/>
        <w:rPr>
          <w:spacing w:val="-3"/>
        </w:rPr>
      </w:pPr>
      <w:r>
        <w:rPr>
          <w:b/>
          <w:color w:val="000000"/>
        </w:rPr>
        <w:t>Appendices</w:t>
      </w:r>
    </w:p>
    <w:p w:rsidR="0019180C" w:rsidRDefault="0019180C">
      <w:pPr>
        <w:keepNext/>
      </w:pPr>
    </w:p>
    <w:p w:rsidR="0019180C" w:rsidRDefault="0019180C">
      <w:pPr>
        <w:keepNext/>
      </w:pPr>
      <w:r>
        <w:t>I:</w:t>
      </w:r>
      <w:r>
        <w:tab/>
      </w:r>
      <w:r w:rsidR="001D6359">
        <w:t>BACT Guideline 2.1.1 &amp; Top-Down BACT Analysis</w:t>
      </w:r>
    </w:p>
    <w:p w:rsidR="0019180C" w:rsidRDefault="001D6359">
      <w:r>
        <w:t>Ii:</w:t>
      </w:r>
      <w:r>
        <w:tab/>
        <w:t>HRA Summary</w:t>
      </w:r>
    </w:p>
    <w:p w:rsidR="0019180C" w:rsidRDefault="001D6359">
      <w:r>
        <w:t xml:space="preserve">Iii: </w:t>
      </w:r>
      <w:r>
        <w:tab/>
        <w:t>Draft Authority to Construct</w:t>
      </w:r>
    </w:p>
    <w:p w:rsidR="0019180C" w:rsidRDefault="001D6359">
      <w:pPr>
        <w:pStyle w:val="CommentText"/>
        <w:rPr>
          <w:sz w:val="24"/>
        </w:rPr>
      </w:pPr>
      <w:r>
        <w:rPr>
          <w:sz w:val="24"/>
        </w:rPr>
        <w:t xml:space="preserve">Iv: </w:t>
      </w:r>
      <w:r>
        <w:rPr>
          <w:sz w:val="24"/>
        </w:rPr>
        <w:tab/>
        <w:t>Emissions Profile</w:t>
      </w:r>
    </w:p>
    <w:p w:rsidR="0019180C" w:rsidRDefault="0019180C">
      <w:pPr>
        <w:jc w:val="center"/>
        <w:sectPr w:rsidR="0019180C">
          <w:headerReference w:type="default" r:id="rId11"/>
          <w:footerReference w:type="even" r:id="rId12"/>
          <w:footerReference w:type="default" r:id="rId13"/>
          <w:type w:val="continuous"/>
          <w:pgSz w:w="12240" w:h="15840" w:code="1"/>
          <w:pgMar w:top="994" w:right="1080" w:bottom="1440" w:left="1080" w:header="720" w:footer="806" w:gutter="0"/>
          <w:paperSrc w:first="7" w:other="7"/>
          <w:pgNumType w:start="1"/>
          <w:cols w:space="720"/>
          <w:titlePg/>
        </w:sectPr>
      </w:pPr>
    </w:p>
    <w:p w:rsidR="0019180C" w:rsidRPr="00612D30" w:rsidRDefault="0019180C">
      <w:pPr>
        <w:jc w:val="center"/>
        <w:rPr>
          <w:b/>
          <w:sz w:val="44"/>
          <w:szCs w:val="44"/>
        </w:rPr>
      </w:pPr>
      <w:r w:rsidRPr="00612D30">
        <w:rPr>
          <w:b/>
          <w:sz w:val="44"/>
          <w:szCs w:val="44"/>
        </w:rPr>
        <w:lastRenderedPageBreak/>
        <w:t>APPENDIX I</w:t>
      </w:r>
    </w:p>
    <w:p w:rsidR="0019180C" w:rsidRDefault="0019180C">
      <w:pPr>
        <w:jc w:val="center"/>
        <w:rPr>
          <w:sz w:val="40"/>
        </w:rPr>
      </w:pPr>
    </w:p>
    <w:p w:rsidR="0019180C" w:rsidRPr="00612D30" w:rsidRDefault="0019180C">
      <w:pPr>
        <w:jc w:val="center"/>
        <w:rPr>
          <w:b/>
          <w:bCs/>
          <w:sz w:val="32"/>
          <w:szCs w:val="32"/>
        </w:rPr>
      </w:pPr>
      <w:r w:rsidRPr="00612D30">
        <w:rPr>
          <w:b/>
          <w:bCs/>
          <w:sz w:val="32"/>
          <w:szCs w:val="32"/>
        </w:rPr>
        <w:t>BACT G</w:t>
      </w:r>
      <w:r w:rsidR="001D6359" w:rsidRPr="00612D30">
        <w:rPr>
          <w:b/>
          <w:bCs/>
          <w:sz w:val="32"/>
          <w:szCs w:val="32"/>
        </w:rPr>
        <w:t>uideline</w:t>
      </w:r>
      <w:r w:rsidRPr="00612D30">
        <w:rPr>
          <w:b/>
          <w:bCs/>
          <w:sz w:val="32"/>
          <w:szCs w:val="32"/>
        </w:rPr>
        <w:t xml:space="preserve"> 2.1.2 &amp; T</w:t>
      </w:r>
      <w:r w:rsidR="001D6359" w:rsidRPr="00612D30">
        <w:rPr>
          <w:b/>
          <w:bCs/>
          <w:sz w:val="32"/>
          <w:szCs w:val="32"/>
        </w:rPr>
        <w:t>op</w:t>
      </w:r>
      <w:r w:rsidRPr="00612D30">
        <w:rPr>
          <w:b/>
          <w:bCs/>
          <w:sz w:val="32"/>
          <w:szCs w:val="32"/>
        </w:rPr>
        <w:t>-D</w:t>
      </w:r>
      <w:r w:rsidR="001D6359" w:rsidRPr="00612D30">
        <w:rPr>
          <w:b/>
          <w:bCs/>
          <w:sz w:val="32"/>
          <w:szCs w:val="32"/>
        </w:rPr>
        <w:t>own</w:t>
      </w:r>
      <w:r w:rsidRPr="00612D30">
        <w:rPr>
          <w:b/>
          <w:bCs/>
          <w:sz w:val="32"/>
          <w:szCs w:val="32"/>
        </w:rPr>
        <w:t xml:space="preserve"> BACT A</w:t>
      </w:r>
      <w:r w:rsidR="001D6359" w:rsidRPr="00612D30">
        <w:rPr>
          <w:b/>
          <w:bCs/>
          <w:sz w:val="32"/>
          <w:szCs w:val="32"/>
        </w:rPr>
        <w:t>nalysis</w:t>
      </w:r>
    </w:p>
    <w:p w:rsidR="0019180C" w:rsidRPr="00612D30" w:rsidRDefault="0019180C">
      <w:pPr>
        <w:jc w:val="center"/>
        <w:rPr>
          <w:sz w:val="32"/>
          <w:szCs w:val="32"/>
        </w:rPr>
        <w:sectPr w:rsidR="0019180C" w:rsidRPr="00612D30" w:rsidSect="00612D30">
          <w:footerReference w:type="default" r:id="rId14"/>
          <w:pgSz w:w="12240" w:h="15840" w:code="1"/>
          <w:pgMar w:top="994" w:right="1440" w:bottom="1440" w:left="1440" w:header="720" w:footer="806" w:gutter="0"/>
          <w:paperSrc w:first="15" w:other="15"/>
          <w:cols w:space="720"/>
          <w:vAlign w:val="center"/>
          <w:docGrid w:linePitch="326"/>
        </w:sectPr>
      </w:pPr>
    </w:p>
    <w:p w:rsidR="0019180C" w:rsidRDefault="0019180C">
      <w:pPr>
        <w:jc w:val="center"/>
        <w:rPr>
          <w:sz w:val="40"/>
        </w:rPr>
      </w:pPr>
    </w:p>
    <w:p w:rsidR="0019180C" w:rsidRDefault="00BE3B4A">
      <w:pPr>
        <w:suppressAutoHyphens/>
        <w:ind w:left="450" w:hanging="450"/>
        <w:jc w:val="center"/>
        <w:rPr>
          <w:sz w:val="40"/>
        </w:rPr>
        <w:sectPr w:rsidR="0019180C" w:rsidSect="00612D30">
          <w:headerReference w:type="first" r:id="rId15"/>
          <w:pgSz w:w="12240" w:h="15840" w:code="1"/>
          <w:pgMar w:top="994" w:right="1440" w:bottom="1440" w:left="1440" w:header="720" w:footer="806" w:gutter="0"/>
          <w:paperSrc w:first="15" w:other="15"/>
          <w:cols w:space="720"/>
          <w:docGrid w:linePitch="326"/>
        </w:sectPr>
      </w:pPr>
      <w:r>
        <w:rPr>
          <w:noProof/>
          <w:sz w:val="40"/>
        </w:rPr>
        <w:drawing>
          <wp:inline distT="0" distB="0" distL="0" distR="0" wp14:anchorId="4EE66564" wp14:editId="77CC9553">
            <wp:extent cx="5943600" cy="7315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315200"/>
                    </a:xfrm>
                    <a:prstGeom prst="rect">
                      <a:avLst/>
                    </a:prstGeom>
                    <a:noFill/>
                    <a:ln>
                      <a:noFill/>
                    </a:ln>
                  </pic:spPr>
                </pic:pic>
              </a:graphicData>
            </a:graphic>
          </wp:inline>
        </w:drawing>
      </w:r>
    </w:p>
    <w:p w:rsidR="0019180C" w:rsidRDefault="0019180C">
      <w:pPr>
        <w:suppressAutoHyphens/>
        <w:ind w:left="1260" w:hanging="450"/>
        <w:jc w:val="center"/>
        <w:rPr>
          <w:b/>
          <w:bCs/>
          <w:spacing w:val="-3"/>
          <w:u w:val="single"/>
        </w:rPr>
      </w:pPr>
    </w:p>
    <w:p w:rsidR="0019180C" w:rsidRDefault="0019180C">
      <w:pPr>
        <w:suppressAutoHyphens/>
        <w:ind w:left="1260" w:hanging="450"/>
        <w:jc w:val="center"/>
        <w:rPr>
          <w:b/>
          <w:bCs/>
          <w:spacing w:val="-3"/>
          <w:u w:val="single"/>
        </w:rPr>
      </w:pPr>
    </w:p>
    <w:p w:rsidR="0019180C" w:rsidRDefault="0019180C">
      <w:pPr>
        <w:suppressAutoHyphens/>
        <w:ind w:left="1260" w:hanging="450"/>
        <w:jc w:val="center"/>
        <w:rPr>
          <w:b/>
          <w:bCs/>
          <w:spacing w:val="-3"/>
          <w:u w:val="single"/>
        </w:rPr>
      </w:pPr>
    </w:p>
    <w:p w:rsidR="0019180C" w:rsidRDefault="0019180C">
      <w:pPr>
        <w:suppressAutoHyphens/>
        <w:ind w:left="1260" w:hanging="450"/>
        <w:jc w:val="center"/>
        <w:rPr>
          <w:b/>
          <w:bCs/>
          <w:spacing w:val="-3"/>
          <w:u w:val="single"/>
        </w:rPr>
      </w:pPr>
    </w:p>
    <w:p w:rsidR="0019180C" w:rsidRDefault="0019180C">
      <w:pPr>
        <w:suppressAutoHyphens/>
        <w:ind w:left="1260" w:hanging="450"/>
        <w:jc w:val="center"/>
        <w:rPr>
          <w:b/>
          <w:bCs/>
          <w:spacing w:val="-3"/>
          <w:u w:val="single"/>
        </w:rPr>
      </w:pPr>
    </w:p>
    <w:p w:rsidR="0019180C" w:rsidRDefault="0019180C">
      <w:pPr>
        <w:suppressAutoHyphens/>
        <w:ind w:left="1260" w:hanging="450"/>
        <w:jc w:val="center"/>
        <w:rPr>
          <w:b/>
          <w:bCs/>
          <w:spacing w:val="-3"/>
        </w:rPr>
      </w:pPr>
      <w:r>
        <w:rPr>
          <w:b/>
          <w:bCs/>
          <w:spacing w:val="-3"/>
          <w:u w:val="single"/>
        </w:rPr>
        <w:t>Top-Down BACT Analysis for VOC</w:t>
      </w:r>
    </w:p>
    <w:p w:rsidR="0019180C" w:rsidRDefault="0019180C">
      <w:pPr>
        <w:suppressAutoHyphens/>
        <w:ind w:left="810"/>
        <w:jc w:val="both"/>
        <w:rPr>
          <w:bCs/>
          <w:spacing w:val="-3"/>
        </w:rPr>
      </w:pPr>
    </w:p>
    <w:p w:rsidR="0019180C" w:rsidRDefault="0019180C">
      <w:pPr>
        <w:ind w:left="810"/>
        <w:rPr>
          <w:snapToGrid w:val="0"/>
        </w:rPr>
      </w:pPr>
      <w:r>
        <w:rPr>
          <w:snapToGrid w:val="0"/>
        </w:rPr>
        <w:t>a. Step 1 - Identify All Possible VOC</w:t>
      </w:r>
      <w:r>
        <w:rPr>
          <w:snapToGrid w:val="0"/>
          <w:sz w:val="16"/>
        </w:rPr>
        <w:t xml:space="preserve"> </w:t>
      </w:r>
      <w:r>
        <w:rPr>
          <w:snapToGrid w:val="0"/>
        </w:rPr>
        <w:t>Control Technologies</w:t>
      </w:r>
    </w:p>
    <w:p w:rsidR="0019180C" w:rsidRDefault="0019180C">
      <w:pPr>
        <w:ind w:left="1350"/>
        <w:rPr>
          <w:i/>
          <w:snapToGrid w:val="0"/>
          <w:sz w:val="16"/>
        </w:rPr>
      </w:pPr>
    </w:p>
    <w:p w:rsidR="0019180C" w:rsidRDefault="0019180C">
      <w:pPr>
        <w:ind w:left="1350"/>
        <w:rPr>
          <w:snapToGrid w:val="0"/>
        </w:rPr>
      </w:pPr>
      <w:r>
        <w:rPr>
          <w:snapToGrid w:val="0"/>
        </w:rPr>
        <w:t xml:space="preserve">The SJVUAPCD BACT Clearinghouse </w:t>
      </w:r>
      <w:r>
        <w:rPr>
          <w:spacing w:val="-3"/>
        </w:rPr>
        <w:t xml:space="preserve">Guideline </w:t>
      </w:r>
      <w:r>
        <w:rPr>
          <w:color w:val="0000FF"/>
          <w:spacing w:val="-3"/>
        </w:rPr>
        <w:t>2.1.1</w:t>
      </w:r>
      <w:r>
        <w:rPr>
          <w:spacing w:val="-3"/>
        </w:rPr>
        <w:t xml:space="preserve"> </w:t>
      </w:r>
      <w:r>
        <w:rPr>
          <w:snapToGrid w:val="0"/>
        </w:rPr>
        <w:t>identifies for this soil remediation operation:</w:t>
      </w:r>
    </w:p>
    <w:p w:rsidR="0019180C" w:rsidRDefault="0019180C">
      <w:pPr>
        <w:ind w:left="1350"/>
        <w:rPr>
          <w:snapToGrid w:val="0"/>
          <w:sz w:val="16"/>
        </w:rPr>
      </w:pPr>
    </w:p>
    <w:p w:rsidR="0019180C" w:rsidRDefault="0019180C">
      <w:pPr>
        <w:ind w:left="1530" w:hanging="180"/>
        <w:rPr>
          <w:snapToGrid w:val="0"/>
        </w:rPr>
      </w:pPr>
      <w:r>
        <w:rPr>
          <w:snapToGrid w:val="0"/>
        </w:rPr>
        <w:t>- Achieved-in-practice BACT: Thermal Oxidizer @ 1400</w:t>
      </w:r>
      <w:r>
        <w:rPr>
          <w:snapToGrid w:val="0"/>
        </w:rPr>
        <w:sym w:font="Symbol" w:char="F0B0"/>
      </w:r>
      <w:r>
        <w:rPr>
          <w:snapToGrid w:val="0"/>
        </w:rPr>
        <w:t>F and 0.5 sec, @ 95% or greater control efficiency.</w:t>
      </w:r>
    </w:p>
    <w:p w:rsidR="0019180C" w:rsidRDefault="0019180C">
      <w:pPr>
        <w:ind w:left="1350"/>
        <w:rPr>
          <w:snapToGrid w:val="0"/>
          <w:sz w:val="16"/>
        </w:rPr>
      </w:pPr>
    </w:p>
    <w:p w:rsidR="0019180C" w:rsidRDefault="0019180C">
      <w:pPr>
        <w:ind w:left="1530" w:hanging="180"/>
        <w:rPr>
          <w:snapToGrid w:val="0"/>
        </w:rPr>
      </w:pPr>
      <w:r>
        <w:rPr>
          <w:snapToGrid w:val="0"/>
        </w:rPr>
        <w:t>- Achieved-in-practice BACT: Catalytic Oxidizer @ 600</w:t>
      </w:r>
      <w:r>
        <w:rPr>
          <w:snapToGrid w:val="0"/>
        </w:rPr>
        <w:sym w:font="Symbol" w:char="F0B0"/>
      </w:r>
      <w:r>
        <w:rPr>
          <w:snapToGrid w:val="0"/>
        </w:rPr>
        <w:t>F and 0.5 sec, @ 95% or greater control efficiency.</w:t>
      </w:r>
    </w:p>
    <w:p w:rsidR="0019180C" w:rsidRDefault="0019180C">
      <w:pPr>
        <w:ind w:left="1350"/>
        <w:rPr>
          <w:snapToGrid w:val="0"/>
          <w:sz w:val="16"/>
        </w:rPr>
      </w:pPr>
    </w:p>
    <w:p w:rsidR="0019180C" w:rsidRDefault="0019180C">
      <w:pPr>
        <w:ind w:left="1350"/>
        <w:rPr>
          <w:snapToGrid w:val="0"/>
        </w:rPr>
      </w:pPr>
      <w:r>
        <w:rPr>
          <w:snapToGrid w:val="0"/>
        </w:rPr>
        <w:t>- No technologically feasible alternatives are listed.</w:t>
      </w:r>
    </w:p>
    <w:p w:rsidR="0019180C" w:rsidRDefault="0019180C">
      <w:pPr>
        <w:ind w:left="1350"/>
        <w:rPr>
          <w:snapToGrid w:val="0"/>
        </w:rPr>
      </w:pPr>
    </w:p>
    <w:p w:rsidR="0019180C" w:rsidRDefault="0019180C">
      <w:pPr>
        <w:ind w:left="810"/>
        <w:rPr>
          <w:snapToGrid w:val="0"/>
        </w:rPr>
      </w:pPr>
      <w:r>
        <w:rPr>
          <w:snapToGrid w:val="0"/>
        </w:rPr>
        <w:t>b. Step 2 - Eliminate Technologically Infeasible Options</w:t>
      </w:r>
    </w:p>
    <w:p w:rsidR="0019180C" w:rsidRDefault="0019180C">
      <w:pPr>
        <w:ind w:left="1350"/>
        <w:rPr>
          <w:snapToGrid w:val="0"/>
          <w:sz w:val="16"/>
        </w:rPr>
      </w:pPr>
    </w:p>
    <w:p w:rsidR="0019180C" w:rsidRDefault="0019180C">
      <w:pPr>
        <w:ind w:left="1350"/>
        <w:rPr>
          <w:snapToGrid w:val="0"/>
        </w:rPr>
      </w:pPr>
      <w:r>
        <w:rPr>
          <w:snapToGrid w:val="0"/>
        </w:rPr>
        <w:t>There are no technologically infeasible options listed.</w:t>
      </w:r>
    </w:p>
    <w:p w:rsidR="0019180C" w:rsidRDefault="0019180C">
      <w:pPr>
        <w:ind w:left="1350"/>
        <w:rPr>
          <w:snapToGrid w:val="0"/>
        </w:rPr>
      </w:pPr>
    </w:p>
    <w:p w:rsidR="0019180C" w:rsidRDefault="0019180C">
      <w:pPr>
        <w:ind w:left="810"/>
        <w:rPr>
          <w:snapToGrid w:val="0"/>
        </w:rPr>
      </w:pPr>
      <w:r>
        <w:rPr>
          <w:snapToGrid w:val="0"/>
        </w:rPr>
        <w:t>c. Step 3 - Rank Remaining Control Technologies by Control Effectiveness</w:t>
      </w:r>
    </w:p>
    <w:p w:rsidR="0019180C" w:rsidRDefault="0019180C">
      <w:pPr>
        <w:ind w:left="1350"/>
        <w:rPr>
          <w:snapToGrid w:val="0"/>
          <w:sz w:val="16"/>
        </w:rPr>
      </w:pPr>
    </w:p>
    <w:p w:rsidR="0019180C" w:rsidRDefault="0019180C">
      <w:pPr>
        <w:ind w:left="1530" w:hanging="180"/>
        <w:rPr>
          <w:snapToGrid w:val="0"/>
        </w:rPr>
      </w:pPr>
      <w:r>
        <w:rPr>
          <w:snapToGrid w:val="0"/>
        </w:rPr>
        <w:t>- Achieved-in-practice BACT: Thermal Oxidizer @ 1400</w:t>
      </w:r>
      <w:r>
        <w:rPr>
          <w:snapToGrid w:val="0"/>
        </w:rPr>
        <w:sym w:font="Symbol" w:char="F0B0"/>
      </w:r>
      <w:r>
        <w:rPr>
          <w:snapToGrid w:val="0"/>
        </w:rPr>
        <w:t>F and 0.5 sec, @ 95% or greater control efficiency.</w:t>
      </w:r>
    </w:p>
    <w:p w:rsidR="0019180C" w:rsidRDefault="0019180C">
      <w:pPr>
        <w:ind w:left="1350"/>
        <w:rPr>
          <w:snapToGrid w:val="0"/>
        </w:rPr>
      </w:pPr>
    </w:p>
    <w:p w:rsidR="0019180C" w:rsidRDefault="0019180C">
      <w:pPr>
        <w:ind w:left="1530" w:hanging="180"/>
        <w:rPr>
          <w:snapToGrid w:val="0"/>
        </w:rPr>
      </w:pPr>
      <w:r>
        <w:rPr>
          <w:snapToGrid w:val="0"/>
        </w:rPr>
        <w:t>- Achieved-in-practice BACT: Catalytic Oxidizer @ 600</w:t>
      </w:r>
      <w:r>
        <w:rPr>
          <w:snapToGrid w:val="0"/>
        </w:rPr>
        <w:sym w:font="Symbol" w:char="F0B0"/>
      </w:r>
      <w:r>
        <w:rPr>
          <w:snapToGrid w:val="0"/>
        </w:rPr>
        <w:t>F and 0.5 sec, @ 95% or greater control efficiency.</w:t>
      </w:r>
    </w:p>
    <w:p w:rsidR="0019180C" w:rsidRDefault="0019180C">
      <w:pPr>
        <w:ind w:left="1350"/>
        <w:rPr>
          <w:snapToGrid w:val="0"/>
        </w:rPr>
      </w:pPr>
    </w:p>
    <w:p w:rsidR="0019180C" w:rsidRDefault="0019180C">
      <w:pPr>
        <w:ind w:left="810"/>
        <w:rPr>
          <w:snapToGrid w:val="0"/>
        </w:rPr>
      </w:pPr>
      <w:r>
        <w:rPr>
          <w:snapToGrid w:val="0"/>
        </w:rPr>
        <w:t>d. Step 4 - Cost Effectiveness Analysis</w:t>
      </w:r>
    </w:p>
    <w:p w:rsidR="0019180C" w:rsidRDefault="0019180C">
      <w:pPr>
        <w:ind w:left="1350"/>
        <w:rPr>
          <w:snapToGrid w:val="0"/>
          <w:sz w:val="16"/>
        </w:rPr>
      </w:pPr>
    </w:p>
    <w:p w:rsidR="0019180C" w:rsidRDefault="0019180C">
      <w:pPr>
        <w:ind w:left="1350"/>
        <w:rPr>
          <w:snapToGrid w:val="0"/>
        </w:rPr>
      </w:pPr>
      <w:r>
        <w:rPr>
          <w:snapToGrid w:val="0"/>
        </w:rPr>
        <w:t>The only control technology alternative in the ranking list from Step 3 has been achieved in practice. Therefore, per SJVUAPCD BACT policy, the cost effectiveness analysis is not required.</w:t>
      </w:r>
    </w:p>
    <w:p w:rsidR="0019180C" w:rsidRDefault="0019180C">
      <w:pPr>
        <w:ind w:left="1350"/>
        <w:rPr>
          <w:snapToGrid w:val="0"/>
        </w:rPr>
      </w:pPr>
    </w:p>
    <w:p w:rsidR="0019180C" w:rsidRDefault="0019180C">
      <w:pPr>
        <w:ind w:left="810"/>
        <w:rPr>
          <w:snapToGrid w:val="0"/>
        </w:rPr>
      </w:pPr>
      <w:r>
        <w:rPr>
          <w:snapToGrid w:val="0"/>
        </w:rPr>
        <w:t>e. Step 5 - Select BACT</w:t>
      </w:r>
    </w:p>
    <w:p w:rsidR="0019180C" w:rsidRDefault="0019180C">
      <w:pPr>
        <w:ind w:left="810"/>
        <w:rPr>
          <w:snapToGrid w:val="0"/>
        </w:rPr>
      </w:pPr>
    </w:p>
    <w:p w:rsidR="0019180C" w:rsidRDefault="0019180C">
      <w:pPr>
        <w:ind w:left="1434"/>
        <w:rPr>
          <w:snapToGrid w:val="0"/>
        </w:rPr>
      </w:pPr>
      <w:r>
        <w:rPr>
          <w:snapToGrid w:val="0"/>
        </w:rPr>
        <w:t xml:space="preserve">The applicant is proposing BACT by the use of a </w:t>
      </w:r>
      <w:r>
        <w:rPr>
          <w:color w:val="0000FF"/>
          <w:spacing w:val="-3"/>
        </w:rPr>
        <w:t>thermal and/or catalytic</w:t>
      </w:r>
      <w:r>
        <w:rPr>
          <w:spacing w:val="-3"/>
        </w:rPr>
        <w:t xml:space="preserve"> oxidizer @ 1400</w:t>
      </w:r>
      <w:r>
        <w:rPr>
          <w:snapToGrid w:val="0"/>
        </w:rPr>
        <w:sym w:font="Symbol" w:char="F0B0"/>
      </w:r>
      <w:r>
        <w:rPr>
          <w:snapToGrid w:val="0"/>
        </w:rPr>
        <w:t>F and 600</w:t>
      </w:r>
      <w:r>
        <w:rPr>
          <w:snapToGrid w:val="0"/>
        </w:rPr>
        <w:sym w:font="Symbol" w:char="F0B0"/>
      </w:r>
      <w:r>
        <w:rPr>
          <w:snapToGrid w:val="0"/>
        </w:rPr>
        <w:t>F respectively and 0.5 sec, with a control efficiency of 95% or greater.</w:t>
      </w:r>
    </w:p>
    <w:p w:rsidR="0019180C" w:rsidRDefault="0019180C">
      <w:pPr>
        <w:pStyle w:val="FootnoteText"/>
        <w:rPr>
          <w:rFonts w:ascii="Arial" w:hAnsi="Arial"/>
          <w:color w:val="FF0000"/>
        </w:rPr>
      </w:pPr>
      <w:r>
        <w:rPr>
          <w:rFonts w:ascii="Arial" w:hAnsi="Arial"/>
          <w:color w:val="FF0000"/>
        </w:rPr>
        <w:t>OR</w:t>
      </w:r>
    </w:p>
    <w:p w:rsidR="0019180C" w:rsidRDefault="0019180C">
      <w:pPr>
        <w:rPr>
          <w:sz w:val="40"/>
        </w:rPr>
      </w:pPr>
    </w:p>
    <w:p w:rsidR="0019180C" w:rsidRDefault="0019180C">
      <w:pPr>
        <w:ind w:left="1434"/>
        <w:rPr>
          <w:snapToGrid w:val="0"/>
        </w:rPr>
      </w:pPr>
      <w:r>
        <w:rPr>
          <w:snapToGrid w:val="0"/>
        </w:rPr>
        <w:t xml:space="preserve">The applicant is proposing a </w:t>
      </w:r>
      <w:r>
        <w:rPr>
          <w:color w:val="0000FF"/>
          <w:spacing w:val="-3"/>
        </w:rPr>
        <w:t xml:space="preserve">thermal </w:t>
      </w:r>
      <w:r>
        <w:rPr>
          <w:spacing w:val="-3"/>
        </w:rPr>
        <w:t>oxidizer @ 1400</w:t>
      </w:r>
      <w:r>
        <w:rPr>
          <w:snapToGrid w:val="0"/>
        </w:rPr>
        <w:sym w:font="Symbol" w:char="F0B0"/>
      </w:r>
      <w:r>
        <w:rPr>
          <w:snapToGrid w:val="0"/>
        </w:rPr>
        <w:t>F and 0.5 sec, with a control efficiency of 95% or greater.</w:t>
      </w:r>
    </w:p>
    <w:p w:rsidR="0019180C" w:rsidRDefault="0019180C">
      <w:pPr>
        <w:rPr>
          <w:color w:val="FF0000"/>
        </w:rPr>
      </w:pPr>
      <w:r>
        <w:rPr>
          <w:color w:val="FF0000"/>
        </w:rPr>
        <w:t>OR</w:t>
      </w:r>
    </w:p>
    <w:p w:rsidR="0019180C" w:rsidRDefault="0019180C">
      <w:pPr>
        <w:rPr>
          <w:sz w:val="40"/>
        </w:rPr>
      </w:pPr>
    </w:p>
    <w:p w:rsidR="0019180C" w:rsidRDefault="0019180C">
      <w:pPr>
        <w:ind w:left="1434"/>
        <w:rPr>
          <w:snapToGrid w:val="0"/>
        </w:rPr>
      </w:pPr>
      <w:r>
        <w:rPr>
          <w:snapToGrid w:val="0"/>
        </w:rPr>
        <w:lastRenderedPageBreak/>
        <w:t xml:space="preserve">The applicant is proposing a </w:t>
      </w:r>
      <w:r>
        <w:rPr>
          <w:color w:val="0000FF"/>
          <w:spacing w:val="-3"/>
        </w:rPr>
        <w:t>catalytic</w:t>
      </w:r>
      <w:r>
        <w:rPr>
          <w:spacing w:val="-3"/>
        </w:rPr>
        <w:t xml:space="preserve"> oxidizer @ </w:t>
      </w:r>
      <w:r>
        <w:rPr>
          <w:snapToGrid w:val="0"/>
        </w:rPr>
        <w:t>600</w:t>
      </w:r>
      <w:r>
        <w:rPr>
          <w:snapToGrid w:val="0"/>
        </w:rPr>
        <w:sym w:font="Symbol" w:char="F0B0"/>
      </w:r>
      <w:r>
        <w:rPr>
          <w:snapToGrid w:val="0"/>
        </w:rPr>
        <w:t>F and 0.5 sec, with a control efficiency of 95% or greater.</w:t>
      </w:r>
    </w:p>
    <w:p w:rsidR="0019180C" w:rsidRDefault="0019180C">
      <w:pPr>
        <w:ind w:left="1434"/>
        <w:jc w:val="center"/>
        <w:rPr>
          <w:snapToGrid w:val="0"/>
          <w:color w:val="FF0000"/>
        </w:rPr>
      </w:pPr>
      <w:r>
        <w:rPr>
          <w:snapToGrid w:val="0"/>
        </w:rPr>
        <w:br w:type="page"/>
      </w:r>
      <w:r>
        <w:rPr>
          <w:color w:val="FF0000"/>
          <w:spacing w:val="-3"/>
        </w:rPr>
        <w:lastRenderedPageBreak/>
        <w:t xml:space="preserve">(delete this section if BACT for </w:t>
      </w:r>
      <w:r>
        <w:rPr>
          <w:rFonts w:cs="Arial"/>
          <w:color w:val="FF0000"/>
          <w:spacing w:val="-3"/>
        </w:rPr>
        <w:t>NO</w:t>
      </w:r>
      <w:r>
        <w:rPr>
          <w:rFonts w:cs="Arial"/>
          <w:color w:val="FF0000"/>
          <w:spacing w:val="-3"/>
          <w:vertAlign w:val="subscript"/>
        </w:rPr>
        <w:t>x</w:t>
      </w:r>
      <w:r>
        <w:rPr>
          <w:color w:val="FF0000"/>
          <w:spacing w:val="-3"/>
        </w:rPr>
        <w:t xml:space="preserve"> is not triggered)</w:t>
      </w:r>
    </w:p>
    <w:p w:rsidR="0019180C" w:rsidRDefault="0019180C">
      <w:pPr>
        <w:ind w:left="1434"/>
        <w:jc w:val="center"/>
        <w:rPr>
          <w:b/>
          <w:bCs/>
          <w:spacing w:val="-3"/>
          <w:u w:val="single"/>
        </w:rPr>
      </w:pPr>
      <w:r>
        <w:rPr>
          <w:b/>
          <w:bCs/>
          <w:spacing w:val="-3"/>
          <w:u w:val="single"/>
        </w:rPr>
        <w:t xml:space="preserve">Top-Down BACT Analysis for </w:t>
      </w:r>
      <w:r>
        <w:rPr>
          <w:rFonts w:cs="Arial"/>
          <w:b/>
          <w:bCs/>
          <w:spacing w:val="-3"/>
          <w:u w:val="single"/>
        </w:rPr>
        <w:t>NO</w:t>
      </w:r>
      <w:r>
        <w:rPr>
          <w:rFonts w:cs="Arial"/>
          <w:b/>
          <w:bCs/>
          <w:spacing w:val="-3"/>
          <w:u w:val="single"/>
          <w:vertAlign w:val="subscript"/>
        </w:rPr>
        <w:t>x</w:t>
      </w:r>
    </w:p>
    <w:p w:rsidR="0019180C" w:rsidRDefault="0019180C">
      <w:pPr>
        <w:suppressAutoHyphens/>
        <w:ind w:left="810"/>
        <w:jc w:val="both"/>
        <w:rPr>
          <w:bCs/>
          <w:spacing w:val="-3"/>
        </w:rPr>
      </w:pPr>
    </w:p>
    <w:p w:rsidR="0019180C" w:rsidRDefault="0019180C">
      <w:pPr>
        <w:ind w:left="810"/>
        <w:rPr>
          <w:snapToGrid w:val="0"/>
        </w:rPr>
      </w:pPr>
      <w:r>
        <w:rPr>
          <w:snapToGrid w:val="0"/>
        </w:rPr>
        <w:t>a. Step 1 - Identify All Possible VOC</w:t>
      </w:r>
      <w:r>
        <w:rPr>
          <w:snapToGrid w:val="0"/>
          <w:sz w:val="16"/>
        </w:rPr>
        <w:t xml:space="preserve"> </w:t>
      </w:r>
      <w:r>
        <w:rPr>
          <w:snapToGrid w:val="0"/>
        </w:rPr>
        <w:t>Control Technologies</w:t>
      </w:r>
    </w:p>
    <w:p w:rsidR="0019180C" w:rsidRDefault="0019180C">
      <w:pPr>
        <w:ind w:left="1350"/>
        <w:rPr>
          <w:iCs/>
          <w:snapToGrid w:val="0"/>
        </w:rPr>
      </w:pPr>
    </w:p>
    <w:p w:rsidR="0019180C" w:rsidRDefault="0019180C">
      <w:pPr>
        <w:ind w:left="1350"/>
        <w:rPr>
          <w:snapToGrid w:val="0"/>
          <w:u w:val="single"/>
        </w:rPr>
      </w:pPr>
      <w:r>
        <w:rPr>
          <w:snapToGrid w:val="0"/>
          <w:u w:val="single"/>
        </w:rPr>
        <w:t>Achieved-in-Practice</w:t>
      </w:r>
    </w:p>
    <w:p w:rsidR="0019180C" w:rsidRDefault="0019180C">
      <w:pPr>
        <w:ind w:left="1350"/>
        <w:rPr>
          <w:snapToGrid w:val="0"/>
        </w:rPr>
      </w:pPr>
    </w:p>
    <w:p w:rsidR="0019180C" w:rsidRDefault="0019180C">
      <w:pPr>
        <w:ind w:left="1350"/>
        <w:rPr>
          <w:snapToGrid w:val="0"/>
        </w:rPr>
      </w:pPr>
      <w:r>
        <w:rPr>
          <w:snapToGrid w:val="0"/>
        </w:rPr>
        <w:t>- None</w:t>
      </w:r>
    </w:p>
    <w:p w:rsidR="0019180C" w:rsidRDefault="0019180C">
      <w:pPr>
        <w:ind w:left="1350"/>
        <w:rPr>
          <w:snapToGrid w:val="0"/>
        </w:rPr>
      </w:pPr>
    </w:p>
    <w:p w:rsidR="0019180C" w:rsidRDefault="0019180C">
      <w:pPr>
        <w:ind w:left="1350"/>
        <w:rPr>
          <w:snapToGrid w:val="0"/>
          <w:color w:val="FF0000"/>
          <w:u w:val="single"/>
        </w:rPr>
      </w:pPr>
      <w:r>
        <w:rPr>
          <w:snapToGrid w:val="0"/>
          <w:color w:val="FF0000"/>
        </w:rPr>
        <w:t>(If this facility is a small emitter, include the following Technologically Feasible discussion.  Otherwise, discuss with supervisor.  A small emitter is defined as a facility with emissions less than a) 2 ton/yr of each pollutant or b) 40 lb-</w:t>
      </w:r>
      <w:r>
        <w:rPr>
          <w:rFonts w:cs="Arial"/>
          <w:snapToGrid w:val="0"/>
          <w:color w:val="FF0000"/>
        </w:rPr>
        <w:t>NO</w:t>
      </w:r>
      <w:r>
        <w:rPr>
          <w:rFonts w:cs="Arial"/>
          <w:snapToGrid w:val="0"/>
          <w:color w:val="FF0000"/>
          <w:vertAlign w:val="subscript"/>
        </w:rPr>
        <w:t>x</w:t>
      </w:r>
      <w:r>
        <w:rPr>
          <w:snapToGrid w:val="0"/>
          <w:color w:val="FF0000"/>
        </w:rPr>
        <w:t>/day, 30 lb-SO</w:t>
      </w:r>
      <w:r>
        <w:rPr>
          <w:snapToGrid w:val="0"/>
          <w:color w:val="FF0000"/>
          <w:vertAlign w:val="subscript"/>
        </w:rPr>
        <w:t>x</w:t>
      </w:r>
      <w:r>
        <w:rPr>
          <w:snapToGrid w:val="0"/>
          <w:color w:val="FF0000"/>
        </w:rPr>
        <w:t>/day, 30 lb-PM</w:t>
      </w:r>
      <w:r>
        <w:rPr>
          <w:snapToGrid w:val="0"/>
          <w:color w:val="FF0000"/>
          <w:vertAlign w:val="subscript"/>
        </w:rPr>
        <w:t>10</w:t>
      </w:r>
      <w:r>
        <w:rPr>
          <w:snapToGrid w:val="0"/>
          <w:color w:val="FF0000"/>
        </w:rPr>
        <w:t>/day, 220 lb-CO/day, 30 lb-VOC/day)</w:t>
      </w:r>
    </w:p>
    <w:p w:rsidR="0019180C" w:rsidRDefault="0019180C">
      <w:pPr>
        <w:ind w:left="1350"/>
        <w:rPr>
          <w:snapToGrid w:val="0"/>
          <w:u w:val="single"/>
        </w:rPr>
      </w:pPr>
      <w:r>
        <w:rPr>
          <w:snapToGrid w:val="0"/>
          <w:u w:val="single"/>
        </w:rPr>
        <w:t>Technologically Feasible</w:t>
      </w:r>
    </w:p>
    <w:p w:rsidR="0019180C" w:rsidRDefault="0019180C">
      <w:pPr>
        <w:ind w:left="1350"/>
        <w:rPr>
          <w:snapToGrid w:val="0"/>
          <w:u w:val="single"/>
        </w:rPr>
      </w:pPr>
    </w:p>
    <w:p w:rsidR="0019180C" w:rsidRDefault="0019180C">
      <w:pPr>
        <w:ind w:left="1350"/>
        <w:rPr>
          <w:snapToGrid w:val="0"/>
        </w:rPr>
      </w:pPr>
      <w:r>
        <w:rPr>
          <w:snapToGrid w:val="0"/>
        </w:rPr>
        <w:t>A small emitter is not required to use technologically feasible options.  Therefore, the following will not be included in this assessment.</w:t>
      </w:r>
    </w:p>
    <w:p w:rsidR="0019180C" w:rsidRDefault="0019180C">
      <w:pPr>
        <w:ind w:left="1350"/>
        <w:rPr>
          <w:snapToGrid w:val="0"/>
        </w:rPr>
      </w:pPr>
    </w:p>
    <w:p w:rsidR="0019180C" w:rsidRDefault="0019180C">
      <w:pPr>
        <w:ind w:left="1530" w:hanging="180"/>
        <w:rPr>
          <w:snapToGrid w:val="0"/>
        </w:rPr>
      </w:pPr>
      <w:r>
        <w:rPr>
          <w:snapToGrid w:val="0"/>
        </w:rPr>
        <w:t>- Natural gas with low NOx burner</w:t>
      </w:r>
    </w:p>
    <w:p w:rsidR="0019180C" w:rsidRDefault="0019180C">
      <w:pPr>
        <w:ind w:left="1530" w:hanging="180"/>
        <w:rPr>
          <w:snapToGrid w:val="0"/>
        </w:rPr>
      </w:pPr>
    </w:p>
    <w:p w:rsidR="0019180C" w:rsidRDefault="0019180C">
      <w:pPr>
        <w:ind w:left="1530" w:hanging="180"/>
        <w:rPr>
          <w:snapToGrid w:val="0"/>
        </w:rPr>
      </w:pPr>
      <w:r>
        <w:rPr>
          <w:snapToGrid w:val="0"/>
        </w:rPr>
        <w:t>- Water injection (valid only for vapor generation units)</w:t>
      </w:r>
    </w:p>
    <w:p w:rsidR="0019180C" w:rsidRDefault="0019180C">
      <w:pPr>
        <w:ind w:left="1530" w:hanging="180"/>
        <w:rPr>
          <w:snapToGrid w:val="0"/>
        </w:rPr>
      </w:pPr>
    </w:p>
    <w:p w:rsidR="0019180C" w:rsidRDefault="0019180C">
      <w:pPr>
        <w:ind w:left="1530" w:hanging="180"/>
        <w:rPr>
          <w:snapToGrid w:val="0"/>
          <w:u w:val="single"/>
        </w:rPr>
      </w:pPr>
      <w:r>
        <w:rPr>
          <w:snapToGrid w:val="0"/>
          <w:u w:val="single"/>
        </w:rPr>
        <w:t>Alternate Basic Equipment</w:t>
      </w:r>
    </w:p>
    <w:p w:rsidR="0019180C" w:rsidRDefault="0019180C">
      <w:pPr>
        <w:ind w:left="1530" w:hanging="180"/>
        <w:rPr>
          <w:snapToGrid w:val="0"/>
        </w:rPr>
      </w:pPr>
    </w:p>
    <w:p w:rsidR="0019180C" w:rsidRDefault="0019180C">
      <w:pPr>
        <w:ind w:left="1530" w:hanging="180"/>
        <w:rPr>
          <w:snapToGrid w:val="0"/>
        </w:rPr>
      </w:pPr>
      <w:r>
        <w:rPr>
          <w:snapToGrid w:val="0"/>
        </w:rPr>
        <w:t>- Carbon adsorption - as an alternative for VOC control (not valid for vapor generation units)</w:t>
      </w:r>
    </w:p>
    <w:p w:rsidR="0019180C" w:rsidRDefault="0019180C">
      <w:pPr>
        <w:ind w:left="1350"/>
        <w:rPr>
          <w:snapToGrid w:val="0"/>
        </w:rPr>
      </w:pPr>
    </w:p>
    <w:p w:rsidR="0019180C" w:rsidRDefault="0019180C">
      <w:pPr>
        <w:ind w:left="810"/>
        <w:rPr>
          <w:snapToGrid w:val="0"/>
        </w:rPr>
      </w:pPr>
      <w:r>
        <w:rPr>
          <w:snapToGrid w:val="0"/>
        </w:rPr>
        <w:t>b. Step 2 - Eliminate Technologically Infeasible Options</w:t>
      </w:r>
    </w:p>
    <w:p w:rsidR="0019180C" w:rsidRDefault="0019180C">
      <w:pPr>
        <w:ind w:left="1350"/>
        <w:rPr>
          <w:snapToGrid w:val="0"/>
          <w:sz w:val="16"/>
        </w:rPr>
      </w:pPr>
    </w:p>
    <w:p w:rsidR="0019180C" w:rsidRDefault="0019180C">
      <w:pPr>
        <w:ind w:left="1350"/>
        <w:rPr>
          <w:snapToGrid w:val="0"/>
        </w:rPr>
      </w:pPr>
      <w:r>
        <w:rPr>
          <w:snapToGrid w:val="0"/>
        </w:rPr>
        <w:t>There are no technologically infeasible options listed.</w:t>
      </w:r>
    </w:p>
    <w:p w:rsidR="0019180C" w:rsidRDefault="0019180C">
      <w:pPr>
        <w:ind w:left="1350"/>
        <w:rPr>
          <w:snapToGrid w:val="0"/>
        </w:rPr>
      </w:pPr>
    </w:p>
    <w:p w:rsidR="0019180C" w:rsidRDefault="0019180C">
      <w:pPr>
        <w:ind w:left="810"/>
        <w:rPr>
          <w:snapToGrid w:val="0"/>
        </w:rPr>
      </w:pPr>
      <w:r>
        <w:rPr>
          <w:snapToGrid w:val="0"/>
        </w:rPr>
        <w:t>c. Step 3 - Rank Remaining Control Technologies by Control Effectiveness</w:t>
      </w:r>
    </w:p>
    <w:p w:rsidR="0019180C" w:rsidRDefault="0019180C">
      <w:pPr>
        <w:ind w:left="1350"/>
        <w:rPr>
          <w:snapToGrid w:val="0"/>
          <w:sz w:val="16"/>
        </w:rPr>
      </w:pPr>
    </w:p>
    <w:p w:rsidR="0019180C" w:rsidRDefault="0019180C">
      <w:pPr>
        <w:ind w:left="1530" w:hanging="180"/>
        <w:rPr>
          <w:snapToGrid w:val="0"/>
        </w:rPr>
      </w:pPr>
      <w:r>
        <w:rPr>
          <w:snapToGrid w:val="0"/>
        </w:rPr>
        <w:t xml:space="preserve">Carbon adsorption (No </w:t>
      </w:r>
      <w:r>
        <w:rPr>
          <w:rFonts w:cs="Arial"/>
          <w:snapToGrid w:val="0"/>
        </w:rPr>
        <w:t>NO</w:t>
      </w:r>
      <w:r>
        <w:rPr>
          <w:rFonts w:cs="Arial"/>
          <w:snapToGrid w:val="0"/>
          <w:vertAlign w:val="subscript"/>
        </w:rPr>
        <w:t>x</w:t>
      </w:r>
      <w:r>
        <w:rPr>
          <w:snapToGrid w:val="0"/>
        </w:rPr>
        <w:t xml:space="preserve"> emissions; 100% control)</w:t>
      </w:r>
    </w:p>
    <w:p w:rsidR="0019180C" w:rsidRDefault="0019180C">
      <w:pPr>
        <w:ind w:left="1350"/>
        <w:rPr>
          <w:snapToGrid w:val="0"/>
        </w:rPr>
      </w:pPr>
    </w:p>
    <w:p w:rsidR="0019180C" w:rsidRDefault="0019180C">
      <w:pPr>
        <w:ind w:left="810"/>
        <w:rPr>
          <w:snapToGrid w:val="0"/>
        </w:rPr>
      </w:pPr>
      <w:r>
        <w:rPr>
          <w:snapToGrid w:val="0"/>
        </w:rPr>
        <w:t>d. Step 4 - Cost Effectiveness Analysis</w:t>
      </w:r>
    </w:p>
    <w:p w:rsidR="0019180C" w:rsidRDefault="0019180C">
      <w:pPr>
        <w:ind w:left="1350"/>
        <w:rPr>
          <w:snapToGrid w:val="0"/>
          <w:sz w:val="16"/>
        </w:rPr>
      </w:pPr>
    </w:p>
    <w:p w:rsidR="0019180C" w:rsidRDefault="0019180C">
      <w:pPr>
        <w:ind w:left="1440"/>
        <w:rPr>
          <w:rFonts w:cs="Arial"/>
          <w:spacing w:val="-3"/>
        </w:rPr>
      </w:pPr>
      <w:r>
        <w:rPr>
          <w:rFonts w:cs="Arial"/>
          <w:spacing w:val="-3"/>
        </w:rPr>
        <w:t xml:space="preserve">A small emitter is only required to consider the cost effectiveness of achieved-in-practice alternate basic equipment as follows: </w:t>
      </w:r>
    </w:p>
    <w:p w:rsidR="0019180C" w:rsidRDefault="0019180C">
      <w:pPr>
        <w:ind w:left="1440"/>
        <w:rPr>
          <w:rFonts w:cs="Arial"/>
          <w:snapToGrid w:val="0"/>
        </w:rPr>
      </w:pPr>
    </w:p>
    <w:p w:rsidR="0019180C" w:rsidRDefault="0019180C">
      <w:pPr>
        <w:pStyle w:val="BodyTextIndent2"/>
        <w:rPr>
          <w:rFonts w:cs="Arial"/>
        </w:rPr>
      </w:pPr>
      <w:r>
        <w:rPr>
          <w:rFonts w:cs="Arial"/>
        </w:rPr>
        <w:t>CE</w:t>
      </w:r>
      <w:r>
        <w:rPr>
          <w:rFonts w:cs="Arial"/>
          <w:vertAlign w:val="subscript"/>
        </w:rPr>
        <w:t>alt</w:t>
      </w:r>
      <w:r>
        <w:rPr>
          <w:rFonts w:cs="Arial"/>
        </w:rPr>
        <w:t xml:space="preserve">  =   (COST</w:t>
      </w:r>
      <w:r>
        <w:rPr>
          <w:rFonts w:cs="Arial"/>
          <w:vertAlign w:val="subscript"/>
        </w:rPr>
        <w:t>alt</w:t>
      </w:r>
      <w:r>
        <w:rPr>
          <w:rFonts w:cs="Arial"/>
        </w:rPr>
        <w:t xml:space="preserve"> - COST</w:t>
      </w:r>
      <w:r>
        <w:rPr>
          <w:rFonts w:cs="Arial"/>
          <w:vertAlign w:val="subscript"/>
        </w:rPr>
        <w:t>basic</w:t>
      </w:r>
      <w:r>
        <w:rPr>
          <w:rFonts w:cs="Arial"/>
        </w:rPr>
        <w:t>) / (EMISSION</w:t>
      </w:r>
      <w:r>
        <w:rPr>
          <w:rFonts w:cs="Arial"/>
          <w:vertAlign w:val="subscript"/>
        </w:rPr>
        <w:t>basic</w:t>
      </w:r>
      <w:r>
        <w:rPr>
          <w:rFonts w:cs="Arial"/>
        </w:rPr>
        <w:t xml:space="preserve"> - EMISSION</w:t>
      </w:r>
      <w:r>
        <w:rPr>
          <w:rFonts w:cs="Arial"/>
          <w:vertAlign w:val="subscript"/>
        </w:rPr>
        <w:t>alt</w:t>
      </w:r>
      <w:r>
        <w:rPr>
          <w:rFonts w:cs="Arial"/>
        </w:rPr>
        <w:t>)</w:t>
      </w:r>
    </w:p>
    <w:p w:rsidR="0019180C" w:rsidRDefault="0019180C">
      <w:pPr>
        <w:ind w:left="1440"/>
        <w:rPr>
          <w:rFonts w:cs="Arial"/>
          <w:snapToGrid w:val="0"/>
        </w:rPr>
      </w:pPr>
      <w:r>
        <w:rPr>
          <w:rFonts w:cs="Arial"/>
          <w:snapToGrid w:val="0"/>
        </w:rPr>
        <w:tab/>
      </w:r>
      <w:r>
        <w:rPr>
          <w:rFonts w:cs="Arial"/>
          <w:snapToGrid w:val="0"/>
        </w:rPr>
        <w:tab/>
      </w:r>
    </w:p>
    <w:p w:rsidR="0019180C" w:rsidRDefault="0019180C">
      <w:pPr>
        <w:ind w:left="1440"/>
        <w:rPr>
          <w:rFonts w:cs="Arial"/>
          <w:snapToGrid w:val="0"/>
        </w:rPr>
      </w:pPr>
      <w:r>
        <w:rPr>
          <w:rFonts w:cs="Arial"/>
          <w:snapToGrid w:val="0"/>
        </w:rPr>
        <w:t>where,</w:t>
      </w:r>
    </w:p>
    <w:p w:rsidR="0019180C" w:rsidRDefault="0019180C">
      <w:pPr>
        <w:ind w:left="1440"/>
        <w:rPr>
          <w:rFonts w:cs="Arial"/>
          <w:snapToGrid w:val="0"/>
        </w:rPr>
      </w:pPr>
    </w:p>
    <w:p w:rsidR="0019180C" w:rsidRDefault="0019180C">
      <w:pPr>
        <w:ind w:left="2130"/>
        <w:rPr>
          <w:rFonts w:cs="Arial"/>
          <w:snapToGrid w:val="0"/>
        </w:rPr>
      </w:pPr>
      <w:r>
        <w:rPr>
          <w:rFonts w:cs="Arial"/>
          <w:snapToGrid w:val="0"/>
        </w:rPr>
        <w:t>CE</w:t>
      </w:r>
      <w:r>
        <w:rPr>
          <w:rFonts w:cs="Arial"/>
          <w:snapToGrid w:val="0"/>
          <w:vertAlign w:val="subscript"/>
        </w:rPr>
        <w:t xml:space="preserve">alt </w:t>
      </w:r>
      <w:r>
        <w:rPr>
          <w:rFonts w:cs="Arial"/>
          <w:snapToGrid w:val="0"/>
        </w:rPr>
        <w:t>= the cost effectiveness of alternate basic equipment expressed as dollars per ton of emissions reduced</w:t>
      </w:r>
    </w:p>
    <w:p w:rsidR="0019180C" w:rsidRDefault="0019180C">
      <w:pPr>
        <w:ind w:left="2250" w:hanging="84"/>
        <w:rPr>
          <w:rFonts w:cs="Arial"/>
          <w:snapToGrid w:val="0"/>
        </w:rPr>
      </w:pPr>
    </w:p>
    <w:p w:rsidR="0019180C" w:rsidRDefault="0019180C">
      <w:pPr>
        <w:ind w:left="2160"/>
        <w:rPr>
          <w:rFonts w:cs="Arial"/>
          <w:snapToGrid w:val="0"/>
        </w:rPr>
      </w:pPr>
      <w:r>
        <w:rPr>
          <w:rFonts w:cs="Arial"/>
          <w:snapToGrid w:val="0"/>
        </w:rPr>
        <w:t>COST</w:t>
      </w:r>
      <w:r>
        <w:rPr>
          <w:rFonts w:cs="Arial"/>
          <w:snapToGrid w:val="0"/>
          <w:vertAlign w:val="subscript"/>
        </w:rPr>
        <w:t>alt</w:t>
      </w:r>
      <w:r>
        <w:rPr>
          <w:rFonts w:cs="Arial"/>
          <w:snapToGrid w:val="0"/>
        </w:rPr>
        <w:t xml:space="preserve"> = the equivalent annual capital cost of the alternate basic equipment plus its annual operating cost</w:t>
      </w:r>
    </w:p>
    <w:p w:rsidR="0019180C" w:rsidRDefault="0019180C">
      <w:pPr>
        <w:ind w:left="2160"/>
        <w:rPr>
          <w:rFonts w:cs="Arial"/>
          <w:snapToGrid w:val="0"/>
        </w:rPr>
      </w:pPr>
    </w:p>
    <w:p w:rsidR="0019180C" w:rsidRDefault="0019180C">
      <w:pPr>
        <w:ind w:left="2160"/>
        <w:rPr>
          <w:rFonts w:cs="Arial"/>
          <w:snapToGrid w:val="0"/>
        </w:rPr>
      </w:pPr>
      <w:r>
        <w:rPr>
          <w:rFonts w:cs="Arial"/>
          <w:snapToGrid w:val="0"/>
        </w:rPr>
        <w:t>COST</w:t>
      </w:r>
      <w:r>
        <w:rPr>
          <w:rFonts w:cs="Arial"/>
          <w:snapToGrid w:val="0"/>
          <w:vertAlign w:val="subscript"/>
        </w:rPr>
        <w:t>basic</w:t>
      </w:r>
      <w:r>
        <w:rPr>
          <w:rFonts w:cs="Arial"/>
          <w:snapToGrid w:val="0"/>
        </w:rPr>
        <w:t xml:space="preserve"> = the equivalent annual capital cost of the proposed basic equipment, without BACT, plus its annual operating cost</w:t>
      </w:r>
    </w:p>
    <w:p w:rsidR="0019180C" w:rsidRDefault="0019180C">
      <w:pPr>
        <w:ind w:left="2160"/>
        <w:rPr>
          <w:rFonts w:cs="Arial"/>
          <w:snapToGrid w:val="0"/>
        </w:rPr>
      </w:pPr>
      <w:r>
        <w:rPr>
          <w:rFonts w:cs="Arial"/>
          <w:snapToGrid w:val="0"/>
        </w:rPr>
        <w:t xml:space="preserve"> </w:t>
      </w:r>
    </w:p>
    <w:p w:rsidR="0019180C" w:rsidRDefault="0019180C">
      <w:pPr>
        <w:ind w:left="2160"/>
        <w:rPr>
          <w:rFonts w:cs="Arial"/>
          <w:snapToGrid w:val="0"/>
        </w:rPr>
      </w:pPr>
      <w:r>
        <w:rPr>
          <w:rFonts w:cs="Arial"/>
          <w:snapToGrid w:val="0"/>
        </w:rPr>
        <w:t>EMISSION</w:t>
      </w:r>
      <w:r>
        <w:rPr>
          <w:rFonts w:cs="Arial"/>
          <w:snapToGrid w:val="0"/>
          <w:vertAlign w:val="subscript"/>
        </w:rPr>
        <w:t>basic</w:t>
      </w:r>
      <w:r>
        <w:rPr>
          <w:rFonts w:cs="Arial"/>
          <w:snapToGrid w:val="0"/>
        </w:rPr>
        <w:t xml:space="preserve"> = the emissions from the proposed basic equipment, without BACT.</w:t>
      </w:r>
    </w:p>
    <w:p w:rsidR="0019180C" w:rsidRDefault="0019180C">
      <w:pPr>
        <w:ind w:left="2160"/>
        <w:rPr>
          <w:rFonts w:cs="Arial"/>
          <w:snapToGrid w:val="0"/>
        </w:rPr>
      </w:pPr>
    </w:p>
    <w:p w:rsidR="0019180C" w:rsidRDefault="0019180C">
      <w:pPr>
        <w:ind w:left="2160"/>
        <w:rPr>
          <w:rFonts w:cs="Arial"/>
          <w:snapToGrid w:val="0"/>
        </w:rPr>
      </w:pPr>
      <w:r>
        <w:rPr>
          <w:rFonts w:cs="Arial"/>
          <w:snapToGrid w:val="0"/>
        </w:rPr>
        <w:t>EMISSION</w:t>
      </w:r>
      <w:r>
        <w:rPr>
          <w:rFonts w:cs="Arial"/>
          <w:snapToGrid w:val="0"/>
          <w:vertAlign w:val="subscript"/>
        </w:rPr>
        <w:t>alt</w:t>
      </w:r>
      <w:r>
        <w:rPr>
          <w:rFonts w:cs="Arial"/>
          <w:snapToGrid w:val="0"/>
        </w:rPr>
        <w:t xml:space="preserve"> = the emissions from the alternate basic equipment</w:t>
      </w:r>
    </w:p>
    <w:p w:rsidR="0019180C" w:rsidRDefault="0019180C">
      <w:pPr>
        <w:ind w:left="1350"/>
        <w:rPr>
          <w:snapToGrid w:val="0"/>
        </w:rPr>
      </w:pPr>
    </w:p>
    <w:p w:rsidR="0019180C" w:rsidRDefault="0019180C">
      <w:pPr>
        <w:pStyle w:val="BodyTextIndent2"/>
      </w:pPr>
      <w:r>
        <w:t xml:space="preserve">Carbon adsorption is most likely to cost out with the cost of carbon alone.  Since there is no </w:t>
      </w:r>
      <w:r>
        <w:rPr>
          <w:rFonts w:cs="Arial"/>
        </w:rPr>
        <w:t>NO</w:t>
      </w:r>
      <w:r>
        <w:rPr>
          <w:rFonts w:cs="Arial"/>
          <w:vertAlign w:val="subscript"/>
        </w:rPr>
        <w:t>x</w:t>
      </w:r>
      <w:r>
        <w:t xml:space="preserve"> emissions from carbon adsorption, </w:t>
      </w:r>
      <w:r>
        <w:rPr>
          <w:rFonts w:cs="Arial"/>
        </w:rPr>
        <w:t>EMISSION</w:t>
      </w:r>
      <w:r>
        <w:rPr>
          <w:rFonts w:cs="Arial"/>
          <w:vertAlign w:val="subscript"/>
        </w:rPr>
        <w:t>alt</w:t>
      </w:r>
      <w:r>
        <w:t xml:space="preserve"> = 0.  As a worst case, it will be assumed that there is no cost for the basic equipment.  This will result in the following equation:</w:t>
      </w:r>
    </w:p>
    <w:p w:rsidR="0019180C" w:rsidRDefault="0019180C">
      <w:pPr>
        <w:rPr>
          <w:snapToGrid w:val="0"/>
        </w:rPr>
      </w:pPr>
      <w:r>
        <w:rPr>
          <w:snapToGrid w:val="0"/>
        </w:rPr>
        <w:tab/>
      </w:r>
    </w:p>
    <w:p w:rsidR="0019180C" w:rsidRDefault="0019180C">
      <w:pPr>
        <w:ind w:left="2160" w:firstLine="90"/>
        <w:rPr>
          <w:rFonts w:cs="Arial"/>
        </w:rPr>
      </w:pPr>
      <w:r>
        <w:rPr>
          <w:rFonts w:cs="Arial"/>
        </w:rPr>
        <w:t>CE</w:t>
      </w:r>
      <w:r>
        <w:rPr>
          <w:rFonts w:cs="Arial"/>
          <w:vertAlign w:val="subscript"/>
        </w:rPr>
        <w:t>alt</w:t>
      </w:r>
      <w:r>
        <w:rPr>
          <w:rFonts w:cs="Arial"/>
        </w:rPr>
        <w:t xml:space="preserve">  =   (COST</w:t>
      </w:r>
      <w:r>
        <w:rPr>
          <w:rFonts w:cs="Arial"/>
          <w:vertAlign w:val="subscript"/>
        </w:rPr>
        <w:t>alt</w:t>
      </w:r>
      <w:r>
        <w:rPr>
          <w:rFonts w:cs="Arial"/>
        </w:rPr>
        <w:t>) / (EMISSION</w:t>
      </w:r>
      <w:r>
        <w:rPr>
          <w:rFonts w:cs="Arial"/>
          <w:vertAlign w:val="subscript"/>
        </w:rPr>
        <w:t>basic</w:t>
      </w:r>
      <w:r>
        <w:rPr>
          <w:rFonts w:cs="Arial"/>
        </w:rPr>
        <w:t>)</w:t>
      </w:r>
    </w:p>
    <w:p w:rsidR="0019180C" w:rsidRDefault="0019180C">
      <w:pPr>
        <w:ind w:left="1350" w:firstLine="90"/>
        <w:rPr>
          <w:rFonts w:cs="Arial"/>
        </w:rPr>
      </w:pPr>
    </w:p>
    <w:p w:rsidR="0019180C" w:rsidRDefault="0019180C">
      <w:pPr>
        <w:ind w:left="1440"/>
        <w:rPr>
          <w:snapToGrid w:val="0"/>
        </w:rPr>
      </w:pPr>
      <w:r>
        <w:rPr>
          <w:snapToGrid w:val="0"/>
        </w:rPr>
        <w:t xml:space="preserve">In this project, to control the same amount of VOC, it would take </w:t>
      </w:r>
      <w:r>
        <w:rPr>
          <w:snapToGrid w:val="0"/>
          <w:color w:val="0000FF"/>
        </w:rPr>
        <w:t>[]</w:t>
      </w:r>
      <w:r>
        <w:rPr>
          <w:snapToGrid w:val="0"/>
        </w:rPr>
        <w:t xml:space="preserve"> lb of carbon per day as shown below:  </w:t>
      </w:r>
    </w:p>
    <w:p w:rsidR="0019180C" w:rsidRDefault="0019180C">
      <w:pPr>
        <w:ind w:left="1440"/>
        <w:rPr>
          <w:snapToGrid w:val="0"/>
        </w:rPr>
      </w:pPr>
    </w:p>
    <w:p w:rsidR="0019180C" w:rsidRDefault="0019180C">
      <w:pPr>
        <w:ind w:left="2160"/>
        <w:rPr>
          <w:snapToGrid w:val="0"/>
        </w:rPr>
      </w:pPr>
      <w:bookmarkStart w:id="3" w:name="OLE_LINK2"/>
      <w:r>
        <w:rPr>
          <w:snapToGrid w:val="0"/>
        </w:rPr>
        <w:t xml:space="preserve">Amount of carbon (lb/day) </w:t>
      </w:r>
      <w:r>
        <w:rPr>
          <w:snapToGrid w:val="0"/>
        </w:rPr>
        <w:tab/>
      </w:r>
    </w:p>
    <w:p w:rsidR="0019180C" w:rsidRDefault="0019180C">
      <w:pPr>
        <w:ind w:left="2160"/>
        <w:rPr>
          <w:snapToGrid w:val="0"/>
        </w:rPr>
      </w:pPr>
      <w:r>
        <w:rPr>
          <w:snapToGrid w:val="0"/>
        </w:rPr>
        <w:t>= amount of VOC controlled x lb-carbon/lb-VOC</w:t>
      </w:r>
    </w:p>
    <w:p w:rsidR="0019180C" w:rsidRDefault="0019180C">
      <w:pPr>
        <w:ind w:left="2160"/>
        <w:rPr>
          <w:snapToGrid w:val="0"/>
        </w:rPr>
      </w:pPr>
      <w:r>
        <w:rPr>
          <w:snapToGrid w:val="0"/>
        </w:rPr>
        <w:t xml:space="preserve">= </w:t>
      </w:r>
      <w:r>
        <w:rPr>
          <w:snapToGrid w:val="0"/>
          <w:color w:val="0000FF"/>
        </w:rPr>
        <w:t>[ ]</w:t>
      </w:r>
      <w:r>
        <w:rPr>
          <w:snapToGrid w:val="0"/>
        </w:rPr>
        <w:t xml:space="preserve"> lb-VOC/day x  5 lb-carbon/lb-VOC</w:t>
      </w:r>
    </w:p>
    <w:p w:rsidR="0019180C" w:rsidRDefault="0019180C">
      <w:pPr>
        <w:ind w:left="2160"/>
        <w:rPr>
          <w:snapToGrid w:val="0"/>
        </w:rPr>
      </w:pPr>
      <w:r>
        <w:rPr>
          <w:snapToGrid w:val="0"/>
        </w:rPr>
        <w:t xml:space="preserve">= </w:t>
      </w:r>
      <w:r>
        <w:rPr>
          <w:snapToGrid w:val="0"/>
          <w:color w:val="0000FF"/>
        </w:rPr>
        <w:t>[ ]</w:t>
      </w:r>
      <w:r>
        <w:rPr>
          <w:snapToGrid w:val="0"/>
        </w:rPr>
        <w:t xml:space="preserve"> lb-carbon/day</w:t>
      </w:r>
      <w:bookmarkEnd w:id="3"/>
    </w:p>
    <w:p w:rsidR="0019180C" w:rsidRDefault="0019180C">
      <w:pPr>
        <w:ind w:left="1440"/>
        <w:rPr>
          <w:snapToGrid w:val="0"/>
        </w:rPr>
      </w:pPr>
    </w:p>
    <w:p w:rsidR="0019180C" w:rsidRDefault="0019180C">
      <w:pPr>
        <w:ind w:left="1440"/>
        <w:rPr>
          <w:snapToGrid w:val="0"/>
        </w:rPr>
      </w:pPr>
      <w:r>
        <w:rPr>
          <w:snapToGrid w:val="0"/>
        </w:rPr>
        <w:t>The cost of carbon is approximately $3/lb</w:t>
      </w:r>
      <w:r>
        <w:rPr>
          <w:rStyle w:val="FootnoteReference"/>
          <w:snapToGrid w:val="0"/>
        </w:rPr>
        <w:footnoteReference w:id="4"/>
      </w:r>
      <w:r>
        <w:rPr>
          <w:snapToGrid w:val="0"/>
        </w:rPr>
        <w:t>, resulting in the following daily cost:</w:t>
      </w:r>
    </w:p>
    <w:p w:rsidR="0019180C" w:rsidRDefault="0019180C">
      <w:pPr>
        <w:ind w:left="1440"/>
        <w:rPr>
          <w:snapToGrid w:val="0"/>
        </w:rPr>
      </w:pPr>
    </w:p>
    <w:p w:rsidR="0019180C" w:rsidRDefault="0019180C">
      <w:pPr>
        <w:ind w:left="1440"/>
        <w:rPr>
          <w:rFonts w:cs="Arial"/>
        </w:rPr>
      </w:pPr>
      <w:r>
        <w:rPr>
          <w:snapToGrid w:val="0"/>
        </w:rPr>
        <w:tab/>
      </w:r>
      <w:r>
        <w:rPr>
          <w:rFonts w:cs="Arial"/>
        </w:rPr>
        <w:t>COST</w:t>
      </w:r>
      <w:r>
        <w:rPr>
          <w:rFonts w:cs="Arial"/>
          <w:vertAlign w:val="subscript"/>
        </w:rPr>
        <w:t>alt</w:t>
      </w:r>
      <w:r>
        <w:rPr>
          <w:rFonts w:cs="Arial"/>
        </w:rPr>
        <w:t xml:space="preserve"> </w:t>
      </w:r>
      <w:r>
        <w:rPr>
          <w:rFonts w:cs="Arial"/>
        </w:rPr>
        <w:tab/>
        <w:t xml:space="preserve">= $3/lb x </w:t>
      </w:r>
      <w:r>
        <w:rPr>
          <w:rFonts w:cs="Arial"/>
          <w:color w:val="0000FF"/>
        </w:rPr>
        <w:t>[ ]</w:t>
      </w:r>
      <w:r>
        <w:rPr>
          <w:rFonts w:cs="Arial"/>
        </w:rPr>
        <w:t xml:space="preserve"> lb-carbon/day</w:t>
      </w:r>
    </w:p>
    <w:p w:rsidR="0019180C" w:rsidRDefault="0019180C">
      <w:pPr>
        <w:ind w:left="1440"/>
        <w:rPr>
          <w:snapToGrid w:val="0"/>
        </w:rPr>
      </w:pPr>
      <w:r>
        <w:rPr>
          <w:rFonts w:cs="Arial"/>
        </w:rPr>
        <w:tab/>
      </w:r>
      <w:r>
        <w:rPr>
          <w:rFonts w:cs="Arial"/>
        </w:rPr>
        <w:tab/>
      </w:r>
      <w:r>
        <w:rPr>
          <w:rFonts w:cs="Arial"/>
        </w:rPr>
        <w:tab/>
        <w:t>=</w:t>
      </w:r>
    </w:p>
    <w:p w:rsidR="0019180C" w:rsidRDefault="0019180C">
      <w:pPr>
        <w:ind w:left="1350"/>
        <w:rPr>
          <w:snapToGrid w:val="0"/>
        </w:rPr>
      </w:pPr>
    </w:p>
    <w:p w:rsidR="0019180C" w:rsidRDefault="0019180C">
      <w:pPr>
        <w:ind w:left="1350"/>
        <w:rPr>
          <w:rFonts w:cs="Arial"/>
        </w:rPr>
      </w:pPr>
      <w:r>
        <w:rPr>
          <w:rFonts w:cs="Arial"/>
        </w:rPr>
        <w:t>EMISSION</w:t>
      </w:r>
      <w:r>
        <w:rPr>
          <w:rFonts w:cs="Arial"/>
          <w:vertAlign w:val="subscript"/>
        </w:rPr>
        <w:t>basic</w:t>
      </w:r>
      <w:r>
        <w:rPr>
          <w:rFonts w:cs="Arial"/>
        </w:rPr>
        <w:t xml:space="preserve"> is equal to the daily NO</w:t>
      </w:r>
      <w:r>
        <w:rPr>
          <w:rFonts w:cs="Arial"/>
          <w:vertAlign w:val="subscript"/>
        </w:rPr>
        <w:t>x</w:t>
      </w:r>
      <w:r>
        <w:rPr>
          <w:rFonts w:cs="Arial"/>
        </w:rPr>
        <w:t xml:space="preserve"> emissions generated as shown in Section VII.C.2 of this evaluation.  The resulting CE</w:t>
      </w:r>
      <w:r>
        <w:rPr>
          <w:rFonts w:cs="Arial"/>
          <w:vertAlign w:val="subscript"/>
        </w:rPr>
        <w:t>alt</w:t>
      </w:r>
      <w:r>
        <w:rPr>
          <w:rFonts w:cs="Arial"/>
        </w:rPr>
        <w:t xml:space="preserve"> is as follows:</w:t>
      </w:r>
    </w:p>
    <w:p w:rsidR="0019180C" w:rsidRDefault="0019180C">
      <w:pPr>
        <w:ind w:left="1350"/>
        <w:rPr>
          <w:rFonts w:cs="Arial"/>
        </w:rPr>
      </w:pPr>
    </w:p>
    <w:p w:rsidR="0019180C" w:rsidRDefault="0019180C">
      <w:pPr>
        <w:ind w:left="2160"/>
        <w:rPr>
          <w:rFonts w:cs="Arial"/>
        </w:rPr>
      </w:pPr>
      <w:r>
        <w:rPr>
          <w:rFonts w:cs="Arial"/>
        </w:rPr>
        <w:t>CE</w:t>
      </w:r>
      <w:r>
        <w:rPr>
          <w:rFonts w:cs="Arial"/>
          <w:vertAlign w:val="subscript"/>
        </w:rPr>
        <w:t>alt</w:t>
      </w:r>
      <w:r>
        <w:rPr>
          <w:rFonts w:cs="Arial"/>
        </w:rPr>
        <w:t xml:space="preserve">  </w:t>
      </w:r>
      <w:r>
        <w:rPr>
          <w:rFonts w:cs="Arial"/>
        </w:rPr>
        <w:tab/>
        <w:t>= (COST</w:t>
      </w:r>
      <w:r>
        <w:rPr>
          <w:rFonts w:cs="Arial"/>
          <w:vertAlign w:val="subscript"/>
        </w:rPr>
        <w:t>alt</w:t>
      </w:r>
      <w:r>
        <w:rPr>
          <w:rFonts w:cs="Arial"/>
        </w:rPr>
        <w:t>) / (EMISSION</w:t>
      </w:r>
      <w:r>
        <w:rPr>
          <w:rFonts w:cs="Arial"/>
          <w:vertAlign w:val="subscript"/>
        </w:rPr>
        <w:t>basic</w:t>
      </w:r>
      <w:r>
        <w:rPr>
          <w:rFonts w:cs="Arial"/>
        </w:rPr>
        <w:t>) x (lb to ton conversion)</w:t>
      </w:r>
    </w:p>
    <w:p w:rsidR="0019180C" w:rsidRDefault="0019180C">
      <w:pPr>
        <w:ind w:left="2160"/>
        <w:rPr>
          <w:rFonts w:cs="Arial"/>
        </w:rPr>
      </w:pPr>
      <w:r>
        <w:rPr>
          <w:rFonts w:cs="Arial"/>
        </w:rPr>
        <w:tab/>
        <w:t xml:space="preserve">= </w:t>
      </w:r>
      <w:r>
        <w:rPr>
          <w:rFonts w:cs="Arial"/>
          <w:color w:val="0000FF"/>
        </w:rPr>
        <w:t>[ ]</w:t>
      </w:r>
      <w:r>
        <w:rPr>
          <w:rFonts w:cs="Arial"/>
        </w:rPr>
        <w:t xml:space="preserve"> ($/day) / </w:t>
      </w:r>
      <w:r>
        <w:rPr>
          <w:rFonts w:cs="Arial"/>
          <w:color w:val="0000FF"/>
        </w:rPr>
        <w:t>[ ]</w:t>
      </w:r>
      <w:r>
        <w:rPr>
          <w:rFonts w:cs="Arial"/>
        </w:rPr>
        <w:t xml:space="preserve"> (lb-NOx/day) * (2000 lb/1 ton)</w:t>
      </w:r>
    </w:p>
    <w:p w:rsidR="0019180C" w:rsidRDefault="0019180C">
      <w:pPr>
        <w:ind w:left="2160"/>
        <w:rPr>
          <w:rFonts w:cs="Arial"/>
        </w:rPr>
      </w:pPr>
      <w:r>
        <w:rPr>
          <w:rFonts w:cs="Arial"/>
        </w:rPr>
        <w:tab/>
        <w:t>= [ ] $/ton-NOx</w:t>
      </w:r>
    </w:p>
    <w:p w:rsidR="0019180C" w:rsidRDefault="0019180C">
      <w:pPr>
        <w:ind w:left="2160"/>
        <w:rPr>
          <w:snapToGrid w:val="0"/>
        </w:rPr>
      </w:pPr>
      <w:r>
        <w:rPr>
          <w:rFonts w:cs="Arial"/>
        </w:rPr>
        <w:t xml:space="preserve"> </w:t>
      </w:r>
    </w:p>
    <w:p w:rsidR="0019180C" w:rsidRDefault="0019180C">
      <w:pPr>
        <w:ind w:left="1350"/>
        <w:rPr>
          <w:snapToGrid w:val="0"/>
        </w:rPr>
      </w:pPr>
      <w:r>
        <w:rPr>
          <w:snapToGrid w:val="0"/>
        </w:rPr>
        <w:t xml:space="preserve">The cost effectiveness for </w:t>
      </w:r>
      <w:r>
        <w:rPr>
          <w:rFonts w:cs="Arial"/>
          <w:snapToGrid w:val="0"/>
        </w:rPr>
        <w:t>NO</w:t>
      </w:r>
      <w:r>
        <w:rPr>
          <w:rFonts w:cs="Arial"/>
          <w:snapToGrid w:val="0"/>
          <w:vertAlign w:val="subscript"/>
        </w:rPr>
        <w:t>x</w:t>
      </w:r>
      <w:r>
        <w:rPr>
          <w:snapToGrid w:val="0"/>
        </w:rPr>
        <w:t xml:space="preserve"> is $24,500/ton, which is less than the </w:t>
      </w:r>
      <w:r>
        <w:rPr>
          <w:rFonts w:cs="Arial"/>
        </w:rPr>
        <w:t>CE</w:t>
      </w:r>
      <w:r>
        <w:rPr>
          <w:rFonts w:cs="Arial"/>
          <w:vertAlign w:val="subscript"/>
        </w:rPr>
        <w:t>alt</w:t>
      </w:r>
      <w:r>
        <w:rPr>
          <w:rFonts w:cs="Arial"/>
        </w:rPr>
        <w:t xml:space="preserve"> calculated above</w:t>
      </w:r>
      <w:r>
        <w:rPr>
          <w:snapToGrid w:val="0"/>
        </w:rPr>
        <w:t xml:space="preserve">.  Therefore, the use of carbon adsorption is not cost-effective and is not required. </w:t>
      </w:r>
      <w:r>
        <w:rPr>
          <w:snapToGrid w:val="0"/>
        </w:rPr>
        <w:tab/>
      </w:r>
    </w:p>
    <w:p w:rsidR="0019180C" w:rsidRDefault="0019180C">
      <w:pPr>
        <w:ind w:left="1350"/>
        <w:rPr>
          <w:snapToGrid w:val="0"/>
        </w:rPr>
      </w:pPr>
    </w:p>
    <w:p w:rsidR="0019180C" w:rsidRDefault="0019180C">
      <w:pPr>
        <w:keepNext/>
        <w:ind w:left="810"/>
        <w:rPr>
          <w:snapToGrid w:val="0"/>
        </w:rPr>
      </w:pPr>
      <w:r>
        <w:rPr>
          <w:snapToGrid w:val="0"/>
        </w:rPr>
        <w:lastRenderedPageBreak/>
        <w:t>e. Step 5 - Select BACT</w:t>
      </w:r>
    </w:p>
    <w:p w:rsidR="0019180C" w:rsidRDefault="0019180C">
      <w:pPr>
        <w:keepNext/>
        <w:ind w:left="810"/>
        <w:rPr>
          <w:snapToGrid w:val="0"/>
        </w:rPr>
      </w:pPr>
    </w:p>
    <w:p w:rsidR="0019180C" w:rsidRDefault="0019180C">
      <w:pPr>
        <w:keepNext/>
        <w:ind w:left="1434"/>
        <w:rPr>
          <w:snapToGrid w:val="0"/>
        </w:rPr>
      </w:pPr>
      <w:r>
        <w:rPr>
          <w:snapToGrid w:val="0"/>
        </w:rPr>
        <w:t xml:space="preserve">No </w:t>
      </w:r>
      <w:r>
        <w:rPr>
          <w:rFonts w:cs="Arial"/>
          <w:snapToGrid w:val="0"/>
        </w:rPr>
        <w:t>NO</w:t>
      </w:r>
      <w:r>
        <w:rPr>
          <w:rFonts w:cs="Arial"/>
          <w:snapToGrid w:val="0"/>
          <w:vertAlign w:val="subscript"/>
        </w:rPr>
        <w:t>x</w:t>
      </w:r>
      <w:r>
        <w:rPr>
          <w:snapToGrid w:val="0"/>
        </w:rPr>
        <w:t xml:space="preserve"> control technology is required as shown by this top down BACT analysis.</w:t>
      </w:r>
    </w:p>
    <w:p w:rsidR="0019180C" w:rsidRDefault="0019180C">
      <w:pPr>
        <w:ind w:left="1350"/>
        <w:rPr>
          <w:color w:val="0000FF"/>
          <w:spacing w:val="-3"/>
        </w:rPr>
        <w:sectPr w:rsidR="0019180C" w:rsidSect="00612D30">
          <w:footerReference w:type="even" r:id="rId17"/>
          <w:footerReference w:type="default" r:id="rId18"/>
          <w:type w:val="continuous"/>
          <w:pgSz w:w="12240" w:h="15840" w:code="1"/>
          <w:pgMar w:top="994" w:right="1440" w:bottom="1440" w:left="1440" w:header="720" w:footer="806" w:gutter="0"/>
          <w:paperSrc w:first="7" w:other="7"/>
          <w:cols w:space="720"/>
          <w:docGrid w:linePitch="326"/>
        </w:sectPr>
      </w:pPr>
    </w:p>
    <w:p w:rsidR="0019180C" w:rsidRPr="00612D30" w:rsidRDefault="0019180C">
      <w:pPr>
        <w:jc w:val="center"/>
        <w:rPr>
          <w:b/>
          <w:sz w:val="44"/>
          <w:szCs w:val="44"/>
        </w:rPr>
      </w:pPr>
      <w:r w:rsidRPr="00612D30">
        <w:rPr>
          <w:b/>
          <w:sz w:val="44"/>
          <w:szCs w:val="44"/>
        </w:rPr>
        <w:lastRenderedPageBreak/>
        <w:t>APPENDIX II</w:t>
      </w:r>
    </w:p>
    <w:p w:rsidR="0019180C" w:rsidRDefault="0019180C">
      <w:pPr>
        <w:jc w:val="center"/>
        <w:rPr>
          <w:sz w:val="36"/>
        </w:rPr>
      </w:pPr>
    </w:p>
    <w:p w:rsidR="0019180C" w:rsidRPr="00612D30" w:rsidRDefault="0019180C">
      <w:pPr>
        <w:jc w:val="center"/>
        <w:rPr>
          <w:b/>
          <w:bCs/>
          <w:sz w:val="32"/>
          <w:szCs w:val="32"/>
        </w:rPr>
        <w:sectPr w:rsidR="0019180C" w:rsidRPr="00612D30" w:rsidSect="00612D30">
          <w:pgSz w:w="12240" w:h="15840" w:code="1"/>
          <w:pgMar w:top="994" w:right="1440" w:bottom="1440" w:left="1440" w:header="720" w:footer="806" w:gutter="0"/>
          <w:paperSrc w:first="15" w:other="15"/>
          <w:cols w:space="720"/>
          <w:vAlign w:val="center"/>
          <w:docGrid w:linePitch="326"/>
        </w:sectPr>
      </w:pPr>
      <w:r w:rsidRPr="00612D30">
        <w:rPr>
          <w:b/>
          <w:bCs/>
          <w:sz w:val="32"/>
          <w:szCs w:val="32"/>
        </w:rPr>
        <w:t>HRA S</w:t>
      </w:r>
      <w:r w:rsidR="001D6359" w:rsidRPr="00612D30">
        <w:rPr>
          <w:b/>
          <w:bCs/>
          <w:sz w:val="32"/>
          <w:szCs w:val="32"/>
        </w:rPr>
        <w:t>ummary</w:t>
      </w:r>
    </w:p>
    <w:p w:rsidR="0019180C" w:rsidRPr="00612D30" w:rsidRDefault="0019180C">
      <w:pPr>
        <w:jc w:val="center"/>
        <w:rPr>
          <w:b/>
          <w:sz w:val="44"/>
          <w:szCs w:val="44"/>
        </w:rPr>
      </w:pPr>
      <w:r w:rsidRPr="00612D30">
        <w:rPr>
          <w:b/>
          <w:sz w:val="44"/>
          <w:szCs w:val="44"/>
        </w:rPr>
        <w:lastRenderedPageBreak/>
        <w:t>APPENDIX III</w:t>
      </w:r>
    </w:p>
    <w:p w:rsidR="0019180C" w:rsidRDefault="0019180C">
      <w:pPr>
        <w:jc w:val="center"/>
        <w:rPr>
          <w:sz w:val="36"/>
        </w:rPr>
      </w:pPr>
    </w:p>
    <w:p w:rsidR="0019180C" w:rsidRPr="00612D30" w:rsidRDefault="001D6359">
      <w:pPr>
        <w:jc w:val="center"/>
        <w:rPr>
          <w:b/>
          <w:bCs/>
          <w:sz w:val="32"/>
          <w:szCs w:val="32"/>
        </w:rPr>
        <w:sectPr w:rsidR="0019180C" w:rsidRPr="00612D30" w:rsidSect="00612D30">
          <w:pgSz w:w="12240" w:h="15840" w:code="1"/>
          <w:pgMar w:top="994" w:right="1440" w:bottom="1440" w:left="1440" w:header="720" w:footer="806" w:gutter="0"/>
          <w:paperSrc w:first="15" w:other="15"/>
          <w:cols w:space="720"/>
          <w:vAlign w:val="center"/>
          <w:docGrid w:linePitch="326"/>
        </w:sectPr>
      </w:pPr>
      <w:r w:rsidRPr="00612D30">
        <w:rPr>
          <w:b/>
          <w:bCs/>
          <w:sz w:val="32"/>
          <w:szCs w:val="32"/>
        </w:rPr>
        <w:t>Draft Authority to Construct</w:t>
      </w:r>
    </w:p>
    <w:p w:rsidR="0019180C" w:rsidRPr="00612D30" w:rsidRDefault="0019180C">
      <w:pPr>
        <w:jc w:val="center"/>
        <w:rPr>
          <w:b/>
          <w:sz w:val="44"/>
          <w:szCs w:val="44"/>
        </w:rPr>
      </w:pPr>
      <w:r w:rsidRPr="00612D30">
        <w:rPr>
          <w:b/>
          <w:sz w:val="44"/>
          <w:szCs w:val="44"/>
        </w:rPr>
        <w:lastRenderedPageBreak/>
        <w:t>APPENDIX IV</w:t>
      </w:r>
    </w:p>
    <w:p w:rsidR="0019180C" w:rsidRDefault="0019180C">
      <w:pPr>
        <w:jc w:val="center"/>
        <w:rPr>
          <w:sz w:val="36"/>
        </w:rPr>
      </w:pPr>
    </w:p>
    <w:p w:rsidR="00A40937" w:rsidRPr="00612D30" w:rsidRDefault="001D6359">
      <w:pPr>
        <w:jc w:val="center"/>
        <w:rPr>
          <w:b/>
          <w:bCs/>
          <w:sz w:val="32"/>
          <w:szCs w:val="32"/>
        </w:rPr>
        <w:sectPr w:rsidR="00A40937" w:rsidRPr="00612D30" w:rsidSect="00A40937">
          <w:pgSz w:w="12240" w:h="15840" w:code="1"/>
          <w:pgMar w:top="994" w:right="1440" w:bottom="1440" w:left="1440" w:header="720" w:footer="806" w:gutter="0"/>
          <w:paperSrc w:first="15" w:other="15"/>
          <w:cols w:space="720"/>
          <w:vAlign w:val="center"/>
        </w:sectPr>
      </w:pPr>
      <w:r w:rsidRPr="001D6359">
        <w:rPr>
          <w:b/>
          <w:bCs/>
          <w:sz w:val="32"/>
          <w:szCs w:val="32"/>
        </w:rPr>
        <w:t>Emissions Profile</w:t>
      </w:r>
    </w:p>
    <w:p w:rsidR="002D4CB0" w:rsidRDefault="00993F1E" w:rsidP="00993F1E">
      <w:pPr>
        <w:jc w:val="center"/>
        <w:rPr>
          <w:b/>
          <w:bCs/>
          <w:i/>
          <w:iCs/>
          <w:sz w:val="28"/>
          <w:u w:val="single"/>
        </w:rPr>
      </w:pPr>
      <w:r w:rsidRPr="00993F1E">
        <w:rPr>
          <w:b/>
          <w:bCs/>
          <w:i/>
          <w:iCs/>
          <w:sz w:val="28"/>
          <w:u w:val="single"/>
        </w:rPr>
        <w:lastRenderedPageBreak/>
        <w:t>Conditions</w:t>
      </w:r>
      <w:r w:rsidR="002D4CB0">
        <w:rPr>
          <w:b/>
          <w:bCs/>
          <w:i/>
          <w:iCs/>
          <w:sz w:val="28"/>
          <w:u w:val="single"/>
        </w:rPr>
        <w:t xml:space="preserve"> </w:t>
      </w:r>
    </w:p>
    <w:p w:rsidR="00993F1E" w:rsidRPr="00612D30" w:rsidRDefault="002D4CB0" w:rsidP="00993F1E">
      <w:pPr>
        <w:jc w:val="center"/>
        <w:rPr>
          <w:color w:val="FF0000"/>
          <w:sz w:val="28"/>
        </w:rPr>
      </w:pPr>
      <w:r w:rsidRPr="00612D30">
        <w:rPr>
          <w:b/>
          <w:bCs/>
          <w:i/>
          <w:iCs/>
          <w:color w:val="FF0000"/>
          <w:sz w:val="28"/>
          <w:u w:val="single"/>
        </w:rPr>
        <w:t>(DON’T INCLUDE WITH APPLICATION REVIEW)</w:t>
      </w:r>
    </w:p>
    <w:p w:rsidR="00993F1E" w:rsidRPr="00993F1E" w:rsidRDefault="00993F1E" w:rsidP="00993F1E">
      <w:pPr>
        <w:jc w:val="center"/>
        <w:rPr>
          <w:sz w:val="28"/>
        </w:rPr>
      </w:pPr>
    </w:p>
    <w:p w:rsidR="00993F1E" w:rsidRPr="00993F1E" w:rsidRDefault="00993F1E" w:rsidP="00993F1E">
      <w:pPr>
        <w:rPr>
          <w:b/>
          <w:bCs/>
          <w:sz w:val="28"/>
        </w:rPr>
      </w:pPr>
      <w:r w:rsidRPr="00993F1E">
        <w:rPr>
          <w:b/>
          <w:bCs/>
          <w:sz w:val="28"/>
        </w:rPr>
        <w:t>If Using Electric Heater Only</w:t>
      </w:r>
    </w:p>
    <w:p w:rsidR="00993F1E" w:rsidRPr="00993F1E" w:rsidRDefault="00993F1E" w:rsidP="00993F1E"/>
    <w:p w:rsidR="00993F1E" w:rsidRPr="00993F1E" w:rsidRDefault="00993F1E" w:rsidP="00993F1E">
      <w:pPr>
        <w:tabs>
          <w:tab w:val="left" w:pos="240"/>
        </w:tabs>
        <w:rPr>
          <w:b/>
          <w:bCs/>
          <w:sz w:val="28"/>
        </w:rPr>
      </w:pPr>
      <w:r w:rsidRPr="00993F1E">
        <w:rPr>
          <w:rFonts w:cs="Arial"/>
        </w:rPr>
        <w:t>Only an electrical coil shall be used as an auxiliary method of supplying power for the combustion of VOC. [District Rule 2201] N</w:t>
      </w:r>
    </w:p>
    <w:p w:rsidR="00993F1E" w:rsidRPr="00993F1E" w:rsidRDefault="00993F1E" w:rsidP="00993F1E">
      <w:pPr>
        <w:tabs>
          <w:tab w:val="left" w:pos="240"/>
        </w:tabs>
        <w:rPr>
          <w:b/>
          <w:bCs/>
          <w:sz w:val="28"/>
        </w:rPr>
      </w:pPr>
    </w:p>
    <w:p w:rsidR="00993F1E" w:rsidRPr="00993F1E" w:rsidRDefault="00993F1E" w:rsidP="00993F1E">
      <w:pPr>
        <w:tabs>
          <w:tab w:val="left" w:pos="240"/>
        </w:tabs>
        <w:rPr>
          <w:b/>
          <w:bCs/>
          <w:sz w:val="28"/>
          <w:u w:val="single"/>
        </w:rPr>
      </w:pPr>
      <w:r w:rsidRPr="00993F1E">
        <w:rPr>
          <w:b/>
          <w:bCs/>
          <w:sz w:val="28"/>
        </w:rPr>
        <w:t>Thermal Oxidizer (Natural Gas)</w:t>
      </w:r>
    </w:p>
    <w:p w:rsidR="00993F1E" w:rsidRPr="00993F1E" w:rsidRDefault="00993F1E" w:rsidP="00993F1E">
      <w:pPr>
        <w:tabs>
          <w:tab w:val="left" w:pos="240"/>
          <w:tab w:val="left" w:pos="1080"/>
        </w:tabs>
        <w:rPr>
          <w:b/>
          <w:bCs/>
        </w:rPr>
      </w:pPr>
    </w:p>
    <w:p w:rsidR="00993F1E" w:rsidRPr="00993F1E" w:rsidRDefault="00993F1E" w:rsidP="00993F1E">
      <w:pPr>
        <w:tabs>
          <w:tab w:val="left" w:pos="240"/>
          <w:tab w:val="left" w:pos="1080"/>
        </w:tabs>
      </w:pPr>
      <w:r w:rsidRPr="00993F1E">
        <w:t>{1420} The soil remediation system shall be maintained in proper operating condition at all times. [District Rule 2201] N</w:t>
      </w:r>
    </w:p>
    <w:p w:rsidR="00993F1E" w:rsidRPr="00993F1E" w:rsidRDefault="00993F1E" w:rsidP="00993F1E">
      <w:pPr>
        <w:tabs>
          <w:tab w:val="left" w:pos="240"/>
          <w:tab w:val="left" w:pos="1080"/>
        </w:tabs>
      </w:pPr>
      <w:r w:rsidRPr="00993F1E">
        <w:cr/>
        <w:t>{15} No air contaminant shall be discharged into the atmosphere for a period or periods aggregating more than three minutes in any one hour which is as dark as, or darker than, Ringelmann 1 or 20% opacity. [District Rule 4101] N</w:t>
      </w:r>
    </w:p>
    <w:p w:rsidR="00993F1E" w:rsidRPr="00993F1E" w:rsidRDefault="00993F1E" w:rsidP="00993F1E">
      <w:pPr>
        <w:tabs>
          <w:tab w:val="left" w:pos="240"/>
          <w:tab w:val="left" w:pos="1080"/>
        </w:tabs>
      </w:pPr>
      <w:r w:rsidRPr="00993F1E">
        <w:cr/>
        <w:t>{98} No air contaminant shall be released into the atmosphere which causes a public nuisance. [District Rule 4102] N</w:t>
      </w:r>
    </w:p>
    <w:p w:rsidR="00993F1E" w:rsidRPr="00993F1E" w:rsidRDefault="00993F1E" w:rsidP="00993F1E">
      <w:pPr>
        <w:tabs>
          <w:tab w:val="left" w:pos="240"/>
          <w:tab w:val="left" w:pos="1080"/>
        </w:tabs>
      </w:pPr>
      <w:r w:rsidRPr="00993F1E">
        <w:cr/>
        <w:t>{14} Particulate matter emissions shall not exceed 0.1 grains/dscf in concentration. [District Rule 4201] N</w:t>
      </w:r>
    </w:p>
    <w:p w:rsidR="00993F1E" w:rsidRPr="00993F1E" w:rsidRDefault="00993F1E" w:rsidP="00993F1E">
      <w:pPr>
        <w:tabs>
          <w:tab w:val="left" w:pos="240"/>
          <w:tab w:val="left" w:pos="1080"/>
        </w:tabs>
      </w:pPr>
      <w:r w:rsidRPr="00993F1E">
        <w:cr/>
        <w:t>{2857} Only natural gas shall be used as auxiliary fuel for the combustion of VOC. [District Rule 2201] N</w:t>
      </w:r>
    </w:p>
    <w:p w:rsidR="00993F1E" w:rsidRPr="00993F1E" w:rsidRDefault="00993F1E" w:rsidP="00993F1E">
      <w:pPr>
        <w:tabs>
          <w:tab w:val="left" w:pos="240"/>
          <w:tab w:val="left" w:pos="1080"/>
        </w:tabs>
      </w:pPr>
    </w:p>
    <w:p w:rsidR="00993F1E" w:rsidRPr="00993F1E" w:rsidRDefault="00993F1E" w:rsidP="00993F1E">
      <w:pPr>
        <w:tabs>
          <w:tab w:val="left" w:pos="0"/>
          <w:tab w:val="left" w:pos="240"/>
        </w:tabs>
        <w:rPr>
          <w:strike/>
        </w:rPr>
      </w:pPr>
      <w:r w:rsidRPr="00993F1E">
        <w:t>{1423} Either the VOC control efficiency shall not be less than 95%, or the total VOC emission rate shall not exceed 2 pounds in any one day. [District Rule 2201] N</w:t>
      </w:r>
    </w:p>
    <w:p w:rsidR="00993F1E" w:rsidRPr="00993F1E" w:rsidRDefault="00993F1E" w:rsidP="00993F1E">
      <w:pPr>
        <w:tabs>
          <w:tab w:val="left" w:pos="240"/>
          <w:tab w:val="left" w:pos="1080"/>
        </w:tabs>
      </w:pPr>
    </w:p>
    <w:p w:rsidR="00993F1E" w:rsidRPr="00993F1E" w:rsidRDefault="00993F1E" w:rsidP="00993F1E">
      <w:pPr>
        <w:tabs>
          <w:tab w:val="left" w:pos="240"/>
          <w:tab w:val="left" w:pos="1080"/>
        </w:tabs>
        <w:rPr>
          <w:color w:val="FF0000"/>
        </w:rPr>
      </w:pPr>
      <w:r w:rsidRPr="00993F1E">
        <w:rPr>
          <w:color w:val="FF0000"/>
        </w:rPr>
        <w:t xml:space="preserve">The effluent gas flowrate after the control device shall not exceed </w:t>
      </w:r>
      <w:r w:rsidRPr="00612D30">
        <w:rPr>
          <w:color w:val="0070C0"/>
        </w:rPr>
        <w:t>xxx</w:t>
      </w:r>
      <w:r w:rsidRPr="00993F1E">
        <w:rPr>
          <w:color w:val="FF0000"/>
        </w:rPr>
        <w:t xml:space="preserve"> scfm.  [District Rule 2201] N</w:t>
      </w:r>
    </w:p>
    <w:p w:rsidR="00993F1E" w:rsidRPr="00993F1E" w:rsidRDefault="00993F1E" w:rsidP="00993F1E">
      <w:pPr>
        <w:tabs>
          <w:tab w:val="left" w:pos="240"/>
          <w:tab w:val="left" w:pos="1080"/>
        </w:tabs>
      </w:pPr>
    </w:p>
    <w:p w:rsidR="00993F1E" w:rsidRPr="00993F1E" w:rsidRDefault="00993F1E" w:rsidP="00993F1E">
      <w:pPr>
        <w:tabs>
          <w:tab w:val="left" w:pos="240"/>
          <w:tab w:val="left" w:pos="1080"/>
        </w:tabs>
        <w:rPr>
          <w:color w:val="FF0000"/>
        </w:rPr>
      </w:pPr>
      <w:r w:rsidRPr="00993F1E">
        <w:rPr>
          <w:color w:val="FF0000"/>
        </w:rPr>
        <w:t xml:space="preserve">The effluent VOC concentration level after the control device shall not exceed </w:t>
      </w:r>
      <w:r w:rsidRPr="00612D30">
        <w:rPr>
          <w:color w:val="0070C0"/>
        </w:rPr>
        <w:t>xxx</w:t>
      </w:r>
      <w:r w:rsidRPr="00993F1E">
        <w:rPr>
          <w:color w:val="FF0000"/>
        </w:rPr>
        <w:t xml:space="preserve"> ppmv, as methane. [District Rule 2201]</w:t>
      </w:r>
    </w:p>
    <w:p w:rsidR="00993F1E" w:rsidRPr="00993F1E" w:rsidRDefault="00993F1E" w:rsidP="00993F1E">
      <w:pPr>
        <w:tabs>
          <w:tab w:val="left" w:pos="240"/>
          <w:tab w:val="left" w:pos="1080"/>
        </w:tabs>
      </w:pPr>
    </w:p>
    <w:p w:rsidR="00993F1E" w:rsidRPr="00993F1E" w:rsidRDefault="00993F1E" w:rsidP="00993F1E">
      <w:pPr>
        <w:tabs>
          <w:tab w:val="left" w:pos="240"/>
          <w:tab w:val="left" w:pos="1080"/>
        </w:tabs>
      </w:pPr>
      <w:r w:rsidRPr="00993F1E">
        <w:t xml:space="preserve">{1463} The total VOC emissions from the soil remediation system served by the thermal oxidizer shall not exceed </w:t>
      </w:r>
      <w:r w:rsidRPr="00612D30">
        <w:rPr>
          <w:color w:val="0070C0"/>
        </w:rPr>
        <w:t>XX</w:t>
      </w:r>
      <w:r w:rsidRPr="00993F1E">
        <w:t xml:space="preserve"> pounds in any one day. [District Rule 2201] N</w:t>
      </w:r>
    </w:p>
    <w:p w:rsidR="00993F1E" w:rsidRPr="00993F1E" w:rsidRDefault="00993F1E" w:rsidP="00993F1E">
      <w:pPr>
        <w:tabs>
          <w:tab w:val="left" w:pos="240"/>
          <w:tab w:val="left" w:pos="1080"/>
        </w:tabs>
      </w:pPr>
      <w:r w:rsidRPr="00993F1E">
        <w:cr/>
        <w:t xml:space="preserve">The emissions from the </w:t>
      </w:r>
      <w:r w:rsidRPr="00993F1E">
        <w:rPr>
          <w:color w:val="FF0000"/>
        </w:rPr>
        <w:t>combustion of natural gas</w:t>
      </w:r>
      <w:r w:rsidRPr="00993F1E">
        <w:t xml:space="preserve"> shall not exceed any of the following limits: 0.1 lb-NOx/MMBtu, 0.084 lb-CO/MMBtu, 0.0076 lb-PM</w:t>
      </w:r>
      <w:r w:rsidRPr="00993F1E">
        <w:rPr>
          <w:vertAlign w:val="subscript"/>
        </w:rPr>
        <w:t>10</w:t>
      </w:r>
      <w:r w:rsidRPr="00993F1E">
        <w:t>/MMBtu, 0.0055 lb-VOC/MMBtu, or 0.00285 lb-SOx/MMBtu. [District Rule 2201] N</w:t>
      </w:r>
    </w:p>
    <w:p w:rsidR="00993F1E" w:rsidRPr="00993F1E" w:rsidRDefault="00993F1E" w:rsidP="00993F1E">
      <w:pPr>
        <w:tabs>
          <w:tab w:val="left" w:pos="240"/>
          <w:tab w:val="left" w:pos="1080"/>
        </w:tabs>
      </w:pPr>
      <w:r w:rsidRPr="00993F1E">
        <w:cr/>
        <w:t>{1462} The minimum operating temperature for the combustion chamber of the thermal oxidizer shall be maintained at or above 1400 degrees F. [District Rule 2201] N</w:t>
      </w:r>
    </w:p>
    <w:p w:rsidR="00993F1E" w:rsidRPr="00993F1E" w:rsidRDefault="00993F1E" w:rsidP="00993F1E">
      <w:pPr>
        <w:tabs>
          <w:tab w:val="left" w:pos="240"/>
          <w:tab w:val="left" w:pos="1080"/>
        </w:tabs>
      </w:pPr>
      <w:r w:rsidRPr="00993F1E">
        <w:cr/>
        <w:t xml:space="preserve">{2775} The thermal oxidizer shall be equipped with an operational temperature gauge to indicate the temperature of the combustion chamber.  A continuously recording device </w:t>
      </w:r>
      <w:r w:rsidRPr="00993F1E">
        <w:lastRenderedPageBreak/>
        <w:t>shall be utilized to indicate the combustion chamber temperature during operation. [District Rule 2201] N</w:t>
      </w:r>
    </w:p>
    <w:p w:rsidR="00993F1E" w:rsidRPr="00993F1E" w:rsidRDefault="00993F1E" w:rsidP="00993F1E">
      <w:pPr>
        <w:tabs>
          <w:tab w:val="left" w:pos="240"/>
          <w:tab w:val="left" w:pos="1080"/>
        </w:tabs>
      </w:pPr>
      <w:r w:rsidRPr="00993F1E">
        <w:cr/>
        <w:t>{1470} The soil remediation system shall not be operated unless the combustion chamber is at or above minimum operating temperature.  The system shall automatically terminate operation if the temperature drops below the minimum operating temperature. [District Rule 2201] N</w:t>
      </w:r>
    </w:p>
    <w:p w:rsidR="00993F1E" w:rsidRPr="00993F1E" w:rsidRDefault="00993F1E" w:rsidP="00993F1E">
      <w:pPr>
        <w:tabs>
          <w:tab w:val="left" w:pos="240"/>
          <w:tab w:val="left" w:pos="1080"/>
        </w:tabs>
      </w:pPr>
      <w:r w:rsidRPr="00993F1E">
        <w:cr/>
        <w:t>{1413} Sampling ports adequate for extraction of grab samples, measurement of gas flow rate, and use of an FID, PID, or other District-approved VOC detection device shall be provided for both the influent and the effluent gas streams. [District Rule 1081] N</w:t>
      </w:r>
    </w:p>
    <w:p w:rsidR="00993F1E" w:rsidRPr="00993F1E" w:rsidRDefault="00993F1E" w:rsidP="00993F1E">
      <w:pPr>
        <w:tabs>
          <w:tab w:val="left" w:pos="240"/>
          <w:tab w:val="left" w:pos="1080"/>
        </w:tabs>
      </w:pPr>
      <w:r w:rsidRPr="00993F1E">
        <w:cr/>
        <w:t>{1414} Laboratory samples shall be taken at the initial inspection, under the supervision of the APCD Inspector.  Samples shall be taken from both the influent and the effluent gas stream sampling ports. [District Rule 1081] N</w:t>
      </w:r>
    </w:p>
    <w:p w:rsidR="00993F1E" w:rsidRPr="00993F1E" w:rsidRDefault="00993F1E" w:rsidP="00993F1E">
      <w:pPr>
        <w:tabs>
          <w:tab w:val="left" w:pos="240"/>
          <w:tab w:val="left" w:pos="1080"/>
        </w:tabs>
      </w:pPr>
      <w:r w:rsidRPr="00993F1E">
        <w:cr/>
        <w:t>{1416} Measurements to determine the influent and the effluent gas flow rates shall be taken at the initial inspection.  Flow rate calculations shall be submitted to the District along with the laboratory sample analysis results. [District Rule 1081] N</w:t>
      </w:r>
    </w:p>
    <w:p w:rsidR="00993F1E" w:rsidRPr="00993F1E" w:rsidRDefault="00993F1E" w:rsidP="00993F1E">
      <w:pPr>
        <w:tabs>
          <w:tab w:val="left" w:pos="240"/>
          <w:tab w:val="left" w:pos="1080"/>
        </w:tabs>
      </w:pPr>
      <w:r w:rsidRPr="00993F1E">
        <w:cr/>
        <w:t>{1417} Initial compliance with VOC emission rate and control efficiency requirements shall be demonstrated by the results of the laboratory sample analysis.  The results shall be submitted to the District within 60 days of the test. [District Rule 1081] N</w:t>
      </w:r>
    </w:p>
    <w:p w:rsidR="00993F1E" w:rsidRPr="00993F1E" w:rsidRDefault="00993F1E" w:rsidP="00993F1E">
      <w:pPr>
        <w:tabs>
          <w:tab w:val="left" w:pos="240"/>
          <w:tab w:val="left" w:pos="1080"/>
        </w:tabs>
      </w:pPr>
      <w:r w:rsidRPr="00993F1E">
        <w:cr/>
      </w:r>
      <w:r w:rsidRPr="00993F1E">
        <w:rPr>
          <w:color w:val="FF0000"/>
        </w:rPr>
        <w:t>{403 modified} Ongoing compliance with VOC emission rate and control efficiency requirements shall be demonstrated at least once per month by sampling both the influent and the effluent gas streams with an FID, PID, or other District-approved VOC detection device. [District Rule 1081] N</w:t>
      </w:r>
    </w:p>
    <w:p w:rsidR="00993F1E" w:rsidRPr="00993F1E" w:rsidRDefault="00993F1E" w:rsidP="00993F1E">
      <w:pPr>
        <w:tabs>
          <w:tab w:val="left" w:pos="240"/>
          <w:tab w:val="left" w:pos="1080"/>
        </w:tabs>
      </w:pPr>
      <w:r w:rsidRPr="00993F1E">
        <w:cr/>
        <w:t>{1425} Records of the cumulative running time and the measured influent and effluent VOC concentrations shall be maintained. [District Rule 2201] N</w:t>
      </w:r>
    </w:p>
    <w:p w:rsidR="00993F1E" w:rsidRPr="00993F1E" w:rsidRDefault="00993F1E" w:rsidP="00993F1E">
      <w:pPr>
        <w:tabs>
          <w:tab w:val="left" w:pos="240"/>
          <w:tab w:val="left" w:pos="1080"/>
        </w:tabs>
      </w:pPr>
      <w:r w:rsidRPr="00993F1E">
        <w:cr/>
        <w:t>{2780} All records shall be retained for a minimum of five years, and shall be made available for District inspection upon request. [District Rule 2201] N</w:t>
      </w:r>
    </w:p>
    <w:p w:rsidR="00993F1E" w:rsidRPr="00993F1E" w:rsidRDefault="00993F1E" w:rsidP="00993F1E">
      <w:pPr>
        <w:tabs>
          <w:tab w:val="left" w:pos="240"/>
        </w:tabs>
        <w:rPr>
          <w:b/>
          <w:bCs/>
          <w:sz w:val="28"/>
          <w:u w:val="single"/>
        </w:rPr>
      </w:pPr>
    </w:p>
    <w:p w:rsidR="00993F1E" w:rsidRPr="00993F1E" w:rsidRDefault="00993F1E" w:rsidP="00993F1E">
      <w:pPr>
        <w:tabs>
          <w:tab w:val="left" w:pos="240"/>
        </w:tabs>
        <w:rPr>
          <w:b/>
          <w:bCs/>
          <w:sz w:val="28"/>
        </w:rPr>
      </w:pPr>
      <w:r w:rsidRPr="00993F1E">
        <w:rPr>
          <w:b/>
          <w:bCs/>
          <w:sz w:val="28"/>
        </w:rPr>
        <w:t>Thermal Oxidizer (LPG)</w:t>
      </w:r>
    </w:p>
    <w:p w:rsidR="00993F1E" w:rsidRPr="00993F1E" w:rsidRDefault="00993F1E" w:rsidP="00993F1E">
      <w:pPr>
        <w:tabs>
          <w:tab w:val="left" w:pos="240"/>
          <w:tab w:val="left" w:pos="1080"/>
        </w:tabs>
        <w:rPr>
          <w:b/>
          <w:bCs/>
        </w:rPr>
      </w:pPr>
    </w:p>
    <w:p w:rsidR="00993F1E" w:rsidRPr="00993F1E" w:rsidRDefault="00993F1E" w:rsidP="00993F1E">
      <w:pPr>
        <w:tabs>
          <w:tab w:val="left" w:pos="0"/>
          <w:tab w:val="left" w:pos="240"/>
        </w:tabs>
      </w:pPr>
      <w:r w:rsidRPr="00993F1E">
        <w:t>{1420} The soil remediation system shall be maintained in proper operating condition at all times. [District Rule 2201] N</w:t>
      </w:r>
    </w:p>
    <w:p w:rsidR="00993F1E" w:rsidRPr="00993F1E" w:rsidRDefault="00993F1E" w:rsidP="00993F1E">
      <w:pPr>
        <w:tabs>
          <w:tab w:val="left" w:pos="0"/>
          <w:tab w:val="left" w:pos="240"/>
        </w:tabs>
      </w:pPr>
      <w:r w:rsidRPr="00993F1E">
        <w:cr/>
        <w:t>{15} No air contaminant shall be discharged into the atmosphere for a period or periods aggregating more than three minutes in any one hour which is as dark as, or darker than, Ringelmann 1 or 20% opacity. [District Rule 4101] N</w:t>
      </w:r>
    </w:p>
    <w:p w:rsidR="00993F1E" w:rsidRPr="00993F1E" w:rsidRDefault="00993F1E" w:rsidP="00993F1E">
      <w:pPr>
        <w:tabs>
          <w:tab w:val="left" w:pos="0"/>
          <w:tab w:val="left" w:pos="240"/>
        </w:tabs>
      </w:pPr>
      <w:r w:rsidRPr="00993F1E">
        <w:cr/>
        <w:t>{98} No air contaminant shall be released into the atmosphere which causes a public nuisance. [District Rule 4102] N</w:t>
      </w:r>
    </w:p>
    <w:p w:rsidR="00993F1E" w:rsidRPr="00993F1E" w:rsidRDefault="00993F1E" w:rsidP="00993F1E">
      <w:pPr>
        <w:tabs>
          <w:tab w:val="left" w:pos="0"/>
          <w:tab w:val="left" w:pos="240"/>
        </w:tabs>
      </w:pPr>
      <w:r w:rsidRPr="00993F1E">
        <w:lastRenderedPageBreak/>
        <w:cr/>
        <w:t>{14} Particulate matter emissions shall not exceed 0.1 grains/dscf in concentration. [District Rule 4201] N</w:t>
      </w:r>
    </w:p>
    <w:p w:rsidR="00993F1E" w:rsidRPr="00993F1E" w:rsidRDefault="00993F1E" w:rsidP="00993F1E">
      <w:pPr>
        <w:tabs>
          <w:tab w:val="left" w:pos="0"/>
          <w:tab w:val="left" w:pos="240"/>
        </w:tabs>
      </w:pPr>
      <w:r w:rsidRPr="00993F1E">
        <w:cr/>
        <w:t>{2859} Only liquefied petroleum gas shall be used as auxiliary fuel for the combustion of VOC. [District Rule 2201] N</w:t>
      </w:r>
    </w:p>
    <w:p w:rsidR="00993F1E" w:rsidRPr="00993F1E" w:rsidRDefault="00993F1E" w:rsidP="00993F1E">
      <w:pPr>
        <w:tabs>
          <w:tab w:val="left" w:pos="0"/>
          <w:tab w:val="left" w:pos="240"/>
        </w:tabs>
      </w:pPr>
      <w:r w:rsidRPr="00993F1E">
        <w:cr/>
        <w:t>{1423} Either the VOC control efficiency shall not be less than 95%, or the total VOC emission rate shall not exceed 2 pounds in any one day. [District Rule 2201] N</w:t>
      </w:r>
    </w:p>
    <w:p w:rsidR="00993F1E" w:rsidRPr="00993F1E" w:rsidRDefault="00993F1E" w:rsidP="00993F1E"/>
    <w:p w:rsidR="00993F1E" w:rsidRPr="00993F1E" w:rsidRDefault="00993F1E" w:rsidP="00993F1E">
      <w:pPr>
        <w:tabs>
          <w:tab w:val="left" w:pos="240"/>
          <w:tab w:val="left" w:pos="1080"/>
        </w:tabs>
        <w:rPr>
          <w:color w:val="FF0000"/>
        </w:rPr>
      </w:pPr>
      <w:r w:rsidRPr="00993F1E">
        <w:rPr>
          <w:color w:val="FF0000"/>
        </w:rPr>
        <w:t xml:space="preserve">The effluent gas flowrate after the control device shall not exceed </w:t>
      </w:r>
      <w:r w:rsidRPr="00612D30">
        <w:rPr>
          <w:color w:val="0070C0"/>
        </w:rPr>
        <w:t>xxx</w:t>
      </w:r>
      <w:r w:rsidRPr="00993F1E">
        <w:rPr>
          <w:color w:val="FF0000"/>
        </w:rPr>
        <w:t xml:space="preserve"> scfm.  [District Rule 2201] N</w:t>
      </w:r>
    </w:p>
    <w:p w:rsidR="00993F1E" w:rsidRPr="00993F1E" w:rsidRDefault="00993F1E" w:rsidP="00993F1E">
      <w:pPr>
        <w:tabs>
          <w:tab w:val="left" w:pos="240"/>
          <w:tab w:val="left" w:pos="1080"/>
        </w:tabs>
      </w:pPr>
    </w:p>
    <w:p w:rsidR="00993F1E" w:rsidRPr="00993F1E" w:rsidRDefault="00993F1E" w:rsidP="00993F1E">
      <w:pPr>
        <w:tabs>
          <w:tab w:val="left" w:pos="0"/>
          <w:tab w:val="left" w:pos="240"/>
        </w:tabs>
        <w:rPr>
          <w:color w:val="FF0000"/>
        </w:rPr>
      </w:pPr>
      <w:r w:rsidRPr="00993F1E">
        <w:rPr>
          <w:color w:val="FF0000"/>
        </w:rPr>
        <w:t xml:space="preserve">The effluent VOC concentration level after the control device shall not exceed </w:t>
      </w:r>
      <w:r w:rsidRPr="00612D30">
        <w:rPr>
          <w:color w:val="0070C0"/>
        </w:rPr>
        <w:t>xxx</w:t>
      </w:r>
      <w:r w:rsidRPr="00993F1E">
        <w:rPr>
          <w:color w:val="FF0000"/>
        </w:rPr>
        <w:t xml:space="preserve"> ppmv, as methane. [District Rule 2201]</w:t>
      </w:r>
    </w:p>
    <w:p w:rsidR="00993F1E" w:rsidRPr="00993F1E" w:rsidRDefault="00993F1E" w:rsidP="00993F1E">
      <w:pPr>
        <w:tabs>
          <w:tab w:val="left" w:pos="0"/>
          <w:tab w:val="left" w:pos="240"/>
        </w:tabs>
      </w:pPr>
      <w:r w:rsidRPr="00993F1E">
        <w:cr/>
        <w:t xml:space="preserve">{1463} The total VOC emissions from the soil remediation system served by the thermal oxidizer shall not exceed </w:t>
      </w:r>
      <w:r w:rsidRPr="00612D30">
        <w:rPr>
          <w:color w:val="0070C0"/>
        </w:rPr>
        <w:t>XX</w:t>
      </w:r>
      <w:r w:rsidRPr="00993F1E">
        <w:t xml:space="preserve"> pounds in any one day. [District Rule 2201] N</w:t>
      </w:r>
    </w:p>
    <w:p w:rsidR="00993F1E" w:rsidRPr="00993F1E" w:rsidRDefault="00993F1E" w:rsidP="00993F1E">
      <w:r w:rsidRPr="00993F1E">
        <w:cr/>
        <w:t xml:space="preserve">The emissions from the </w:t>
      </w:r>
      <w:r w:rsidRPr="00993F1E">
        <w:rPr>
          <w:color w:val="FF0000"/>
        </w:rPr>
        <w:t>combustion of LPG</w:t>
      </w:r>
      <w:r w:rsidRPr="00993F1E">
        <w:t xml:space="preserve"> shall not exceed either of the following limits: 0.15 lb-NOx/MMBtu, 0.021 lb-CO/MMBtu, 0.0044 lb-PM</w:t>
      </w:r>
      <w:r w:rsidRPr="00993F1E">
        <w:rPr>
          <w:vertAlign w:val="subscript"/>
        </w:rPr>
        <w:t>10</w:t>
      </w:r>
      <w:r w:rsidRPr="00993F1E">
        <w:t xml:space="preserve">/MMBtu, 0.0055 lb-VOC/MMBtu, or 0.0164 lb-SOx/MMBtu.  [District Rule 2201] </w:t>
      </w:r>
    </w:p>
    <w:p w:rsidR="00993F1E" w:rsidRPr="00993F1E" w:rsidRDefault="00993F1E" w:rsidP="00993F1E">
      <w:pPr>
        <w:tabs>
          <w:tab w:val="left" w:pos="0"/>
          <w:tab w:val="left" w:pos="240"/>
        </w:tabs>
      </w:pPr>
      <w:r w:rsidRPr="00993F1E">
        <w:cr/>
        <w:t>{1462} The minimum operating temperature for the combustion chamber of the thermal oxidizer shall be maintained at or above 1400 degrees F. [District Rule 2201] N</w:t>
      </w:r>
    </w:p>
    <w:p w:rsidR="00993F1E" w:rsidRPr="00993F1E" w:rsidRDefault="00993F1E" w:rsidP="00993F1E">
      <w:pPr>
        <w:tabs>
          <w:tab w:val="left" w:pos="0"/>
          <w:tab w:val="left" w:pos="240"/>
        </w:tabs>
      </w:pPr>
      <w:r w:rsidRPr="00993F1E">
        <w:cr/>
        <w:t>{2775} The thermal oxidizer shall be equipped with an operational temperature gauge to indicate the temperature of the combustion chamber.  A continuously recording device shall be utilized to indicate the combustion chamber temperature during operation. [District Rule 2201] N</w:t>
      </w:r>
    </w:p>
    <w:p w:rsidR="00993F1E" w:rsidRPr="00993F1E" w:rsidRDefault="00993F1E" w:rsidP="00993F1E">
      <w:pPr>
        <w:tabs>
          <w:tab w:val="left" w:pos="0"/>
          <w:tab w:val="left" w:pos="240"/>
        </w:tabs>
      </w:pPr>
      <w:r w:rsidRPr="00993F1E">
        <w:cr/>
        <w:t>{1470} The soil remediation system shall not be operated unless the combustion chamber is at or above minimum operating temperature.  The system shall automatically terminate operation if the temperature drops below the minimum operating temperature. [District Rule 2201] N</w:t>
      </w:r>
    </w:p>
    <w:p w:rsidR="00993F1E" w:rsidRPr="00993F1E" w:rsidRDefault="00993F1E" w:rsidP="00993F1E">
      <w:pPr>
        <w:tabs>
          <w:tab w:val="left" w:pos="0"/>
          <w:tab w:val="left" w:pos="240"/>
        </w:tabs>
      </w:pPr>
      <w:r w:rsidRPr="00993F1E">
        <w:cr/>
        <w:t>{1413} Sampling ports adequate for extraction of grab samples, measurement of gas flow rate, and use of an FID, PID, or other District-approved VOC detection device shall be provided for both the influent and the effluent gas streams. [District Rule 1081] N</w:t>
      </w:r>
    </w:p>
    <w:p w:rsidR="00993F1E" w:rsidRPr="00993F1E" w:rsidRDefault="00993F1E" w:rsidP="00993F1E">
      <w:pPr>
        <w:tabs>
          <w:tab w:val="left" w:pos="0"/>
          <w:tab w:val="left" w:pos="240"/>
        </w:tabs>
      </w:pPr>
      <w:r w:rsidRPr="00993F1E">
        <w:cr/>
        <w:t>{1414} Laboratory samples shall be taken at the initial inspection, under the supervision of the APCD Inspector.  Samples shall be taken from both the influent and the effluent gas stream sampling ports. [District Rule 1081] N</w:t>
      </w:r>
    </w:p>
    <w:p w:rsidR="00993F1E" w:rsidRPr="00993F1E" w:rsidRDefault="00993F1E" w:rsidP="00993F1E">
      <w:r w:rsidRPr="00993F1E">
        <w:cr/>
        <w:t>Laboratory samples shall be analyzed for VOC</w:t>
      </w:r>
      <w:r w:rsidRPr="00993F1E">
        <w:rPr>
          <w:i/>
          <w:iCs/>
        </w:rPr>
        <w:t>.</w:t>
      </w:r>
      <w:r w:rsidRPr="00993F1E">
        <w:t xml:space="preserve"> [District Rule 2201] N</w:t>
      </w:r>
    </w:p>
    <w:p w:rsidR="00993F1E" w:rsidRPr="00993F1E" w:rsidRDefault="00993F1E" w:rsidP="00993F1E">
      <w:pPr>
        <w:tabs>
          <w:tab w:val="left" w:pos="0"/>
          <w:tab w:val="left" w:pos="240"/>
        </w:tabs>
      </w:pPr>
      <w:r w:rsidRPr="00993F1E">
        <w:cr/>
        <w:t xml:space="preserve">{1416} Measurements to determine the influent and the effluent gas flow rates shall be </w:t>
      </w:r>
      <w:r w:rsidRPr="00993F1E">
        <w:lastRenderedPageBreak/>
        <w:t>taken at the initial inspection.  Flow rate calculations shall be submitted to the District along with the laboratory sample analysis results. [District Rule 1081] N</w:t>
      </w:r>
    </w:p>
    <w:p w:rsidR="00993F1E" w:rsidRPr="00993F1E" w:rsidRDefault="00993F1E" w:rsidP="00993F1E">
      <w:pPr>
        <w:tabs>
          <w:tab w:val="left" w:pos="0"/>
          <w:tab w:val="left" w:pos="240"/>
        </w:tabs>
      </w:pPr>
      <w:r w:rsidRPr="00993F1E">
        <w:cr/>
        <w:t>{1417} Initial compliance with VOC emission rate and control efficiency requirements shall be demonstrated by the results of the laboratory sample analysis.  The results shall be submitted to the District within 60 days of the test. [District Rule 1081] N</w:t>
      </w:r>
    </w:p>
    <w:p w:rsidR="00993F1E" w:rsidRPr="00993F1E" w:rsidRDefault="00993F1E" w:rsidP="00993F1E">
      <w:pPr>
        <w:tabs>
          <w:tab w:val="left" w:pos="0"/>
          <w:tab w:val="left" w:pos="240"/>
        </w:tabs>
      </w:pPr>
      <w:r w:rsidRPr="00993F1E">
        <w:cr/>
      </w:r>
      <w:r w:rsidRPr="00993F1E">
        <w:rPr>
          <w:color w:val="FF0000"/>
        </w:rPr>
        <w:t>{403 modified} Ongoing compliance with VOC emission rate and control efficiency requirements shall be demonstrated at least once per month by sampling both the influent and the effluent gas streams with an FID, PID, or other District-approved VOC detection device. [District Rule 1081] N</w:t>
      </w:r>
    </w:p>
    <w:p w:rsidR="00993F1E" w:rsidRPr="00993F1E" w:rsidRDefault="00993F1E" w:rsidP="00993F1E">
      <w:pPr>
        <w:tabs>
          <w:tab w:val="left" w:pos="0"/>
          <w:tab w:val="left" w:pos="240"/>
        </w:tabs>
      </w:pPr>
      <w:r w:rsidRPr="00993F1E">
        <w:cr/>
        <w:t>{1425} Records of the cumulative running time and the measured influent and effluent VOC concentrations shall be maintained. [District Rule 2201] N</w:t>
      </w:r>
    </w:p>
    <w:p w:rsidR="00993F1E" w:rsidRPr="00993F1E" w:rsidRDefault="00993F1E" w:rsidP="00993F1E">
      <w:pPr>
        <w:tabs>
          <w:tab w:val="left" w:pos="0"/>
          <w:tab w:val="left" w:pos="240"/>
        </w:tabs>
      </w:pPr>
      <w:r w:rsidRPr="00993F1E">
        <w:cr/>
        <w:t>{2780} All records shall be retained for a minimum of five years, and shall be made available for District inspection upon request. [District Rule 2201] N</w:t>
      </w:r>
    </w:p>
    <w:p w:rsidR="00993F1E" w:rsidRPr="00993F1E" w:rsidRDefault="00993F1E" w:rsidP="00993F1E">
      <w:pPr>
        <w:tabs>
          <w:tab w:val="left" w:pos="240"/>
        </w:tabs>
        <w:rPr>
          <w:b/>
          <w:bCs/>
        </w:rPr>
      </w:pPr>
    </w:p>
    <w:p w:rsidR="00993F1E" w:rsidRPr="00993F1E" w:rsidRDefault="00993F1E" w:rsidP="00993F1E">
      <w:pPr>
        <w:tabs>
          <w:tab w:val="left" w:pos="240"/>
        </w:tabs>
        <w:rPr>
          <w:b/>
          <w:bCs/>
          <w:sz w:val="28"/>
        </w:rPr>
      </w:pPr>
      <w:r w:rsidRPr="00993F1E">
        <w:rPr>
          <w:b/>
          <w:bCs/>
          <w:sz w:val="28"/>
        </w:rPr>
        <w:t>Catalytic Oxidizer (Natural Gas)</w:t>
      </w:r>
    </w:p>
    <w:p w:rsidR="00993F1E" w:rsidRPr="00993F1E" w:rsidRDefault="00993F1E" w:rsidP="00993F1E">
      <w:pPr>
        <w:tabs>
          <w:tab w:val="left" w:pos="240"/>
          <w:tab w:val="left" w:pos="1080"/>
        </w:tabs>
        <w:rPr>
          <w:b/>
          <w:bCs/>
          <w:sz w:val="28"/>
        </w:rPr>
      </w:pPr>
    </w:p>
    <w:p w:rsidR="00993F1E" w:rsidRPr="00993F1E" w:rsidRDefault="00993F1E" w:rsidP="00993F1E">
      <w:pPr>
        <w:tabs>
          <w:tab w:val="left" w:pos="240"/>
          <w:tab w:val="left" w:pos="1080"/>
        </w:tabs>
      </w:pPr>
      <w:r w:rsidRPr="00993F1E">
        <w:t>{1420} The soil remediation system shall be maintained in proper operating condition at all times. [District Rule 2201] N</w:t>
      </w:r>
    </w:p>
    <w:p w:rsidR="00993F1E" w:rsidRPr="00993F1E" w:rsidRDefault="00993F1E" w:rsidP="00993F1E">
      <w:pPr>
        <w:tabs>
          <w:tab w:val="left" w:pos="240"/>
          <w:tab w:val="left" w:pos="1080"/>
        </w:tabs>
      </w:pPr>
      <w:r w:rsidRPr="00993F1E">
        <w:cr/>
        <w:t>{15} No air contaminant shall be discharged into the atmosphere for a period or periods aggregating more than three minutes in any one hour which is as dark as, or darker than, Ringelmann 1 or 20% opacity. [District Rule 4101] N</w:t>
      </w:r>
    </w:p>
    <w:p w:rsidR="00993F1E" w:rsidRPr="00993F1E" w:rsidRDefault="00993F1E" w:rsidP="00993F1E">
      <w:pPr>
        <w:tabs>
          <w:tab w:val="left" w:pos="240"/>
          <w:tab w:val="left" w:pos="1080"/>
        </w:tabs>
      </w:pPr>
      <w:r w:rsidRPr="00993F1E">
        <w:cr/>
        <w:t>{98} No air contaminant shall be released into the atmosphere which causes a public nuisance. [District Rule 4102] N</w:t>
      </w:r>
    </w:p>
    <w:p w:rsidR="00993F1E" w:rsidRPr="00993F1E" w:rsidRDefault="00993F1E" w:rsidP="00993F1E">
      <w:pPr>
        <w:tabs>
          <w:tab w:val="left" w:pos="240"/>
          <w:tab w:val="left" w:pos="1080"/>
        </w:tabs>
      </w:pPr>
      <w:r w:rsidRPr="00993F1E">
        <w:cr/>
        <w:t>{14} Particulate matter emissions shall not exceed 0.1 grains/dscf in concentration. [District Rule 4201] N</w:t>
      </w:r>
    </w:p>
    <w:p w:rsidR="00993F1E" w:rsidRPr="00993F1E" w:rsidRDefault="00993F1E" w:rsidP="00993F1E">
      <w:pPr>
        <w:tabs>
          <w:tab w:val="left" w:pos="240"/>
          <w:tab w:val="left" w:pos="1080"/>
        </w:tabs>
      </w:pPr>
      <w:r w:rsidRPr="00993F1E">
        <w:cr/>
        <w:t>{2857} Only natural gas shall be used as auxiliary fuel for the combustion of VOC. [District Rule 2201] N</w:t>
      </w:r>
    </w:p>
    <w:p w:rsidR="00993F1E" w:rsidRPr="00993F1E" w:rsidRDefault="00993F1E" w:rsidP="00993F1E">
      <w:pPr>
        <w:tabs>
          <w:tab w:val="left" w:pos="240"/>
          <w:tab w:val="left" w:pos="1080"/>
        </w:tabs>
      </w:pPr>
      <w:r w:rsidRPr="00993F1E">
        <w:cr/>
        <w:t>{1423} Either the VOC control efficiency shall not be less than 95%, or the total VOC emission rate shall not exceed 2 pounds in any one day. [District Rule 2201] N</w:t>
      </w:r>
    </w:p>
    <w:p w:rsidR="00993F1E" w:rsidRPr="00993F1E" w:rsidRDefault="00993F1E" w:rsidP="00993F1E">
      <w:pPr>
        <w:tabs>
          <w:tab w:val="left" w:pos="240"/>
          <w:tab w:val="left" w:pos="1080"/>
        </w:tabs>
      </w:pPr>
    </w:p>
    <w:p w:rsidR="00993F1E" w:rsidRPr="00993F1E" w:rsidRDefault="00993F1E" w:rsidP="00993F1E">
      <w:pPr>
        <w:tabs>
          <w:tab w:val="left" w:pos="240"/>
          <w:tab w:val="left" w:pos="1080"/>
        </w:tabs>
        <w:rPr>
          <w:color w:val="FF0000"/>
        </w:rPr>
      </w:pPr>
      <w:r w:rsidRPr="00993F1E">
        <w:rPr>
          <w:color w:val="FF0000"/>
        </w:rPr>
        <w:t xml:space="preserve">The effluent gas flowrate after the control device shall not exceed </w:t>
      </w:r>
      <w:r w:rsidRPr="00612D30">
        <w:rPr>
          <w:color w:val="0070C0"/>
        </w:rPr>
        <w:t>xxx</w:t>
      </w:r>
      <w:r w:rsidRPr="00993F1E">
        <w:rPr>
          <w:color w:val="FF0000"/>
        </w:rPr>
        <w:t xml:space="preserve"> scfm.  [District Rule 2201] N</w:t>
      </w:r>
    </w:p>
    <w:p w:rsidR="00993F1E" w:rsidRPr="00993F1E" w:rsidRDefault="00993F1E" w:rsidP="00993F1E">
      <w:pPr>
        <w:tabs>
          <w:tab w:val="left" w:pos="240"/>
          <w:tab w:val="left" w:pos="1080"/>
        </w:tabs>
      </w:pPr>
    </w:p>
    <w:p w:rsidR="00993F1E" w:rsidRPr="00993F1E" w:rsidRDefault="00993F1E" w:rsidP="00993F1E">
      <w:r w:rsidRPr="00993F1E">
        <w:rPr>
          <w:color w:val="FF0000"/>
        </w:rPr>
        <w:t xml:space="preserve">The effluent VOC concentration level after the control device shall not exceed </w:t>
      </w:r>
      <w:r w:rsidRPr="00612D30">
        <w:rPr>
          <w:color w:val="0070C0"/>
        </w:rPr>
        <w:t>xxx</w:t>
      </w:r>
      <w:r w:rsidRPr="00993F1E">
        <w:rPr>
          <w:color w:val="FF0000"/>
        </w:rPr>
        <w:t xml:space="preserve"> ppmv, as methane. [District Rule 2201]</w:t>
      </w:r>
    </w:p>
    <w:p w:rsidR="00993F1E" w:rsidRPr="00993F1E" w:rsidRDefault="00993F1E" w:rsidP="00993F1E">
      <w:pPr>
        <w:tabs>
          <w:tab w:val="left" w:pos="240"/>
          <w:tab w:val="left" w:pos="1080"/>
        </w:tabs>
      </w:pPr>
      <w:r w:rsidRPr="00993F1E">
        <w:cr/>
        <w:t xml:space="preserve">{1465} The total VOC emissions from the soil remediation system served by the catalytic oxidizer shall not exceed </w:t>
      </w:r>
      <w:r w:rsidRPr="00612D30">
        <w:rPr>
          <w:color w:val="0070C0"/>
        </w:rPr>
        <w:t>xxx</w:t>
      </w:r>
      <w:r w:rsidRPr="00993F1E">
        <w:t xml:space="preserve"> pounds in any one day. [District Rule 2201] N</w:t>
      </w:r>
    </w:p>
    <w:p w:rsidR="00993F1E" w:rsidRPr="00993F1E" w:rsidRDefault="00993F1E" w:rsidP="00993F1E">
      <w:pPr>
        <w:tabs>
          <w:tab w:val="left" w:pos="240"/>
          <w:tab w:val="left" w:pos="1080"/>
        </w:tabs>
      </w:pPr>
      <w:r w:rsidRPr="00993F1E">
        <w:lastRenderedPageBreak/>
        <w:cr/>
        <w:t xml:space="preserve">The emissions from the </w:t>
      </w:r>
      <w:r w:rsidRPr="00993F1E">
        <w:rPr>
          <w:color w:val="FF0000"/>
        </w:rPr>
        <w:t>combustion of natural gas</w:t>
      </w:r>
      <w:r w:rsidRPr="00993F1E">
        <w:t xml:space="preserve"> shall not exceed any of the following limits: 0.1 lb-NOx/MMBtu, 0.084 lb-CO/MMBtu, 0.0076 lb-PM</w:t>
      </w:r>
      <w:r w:rsidRPr="00993F1E">
        <w:rPr>
          <w:vertAlign w:val="subscript"/>
        </w:rPr>
        <w:t>10</w:t>
      </w:r>
      <w:r w:rsidRPr="00993F1E">
        <w:t>/MMBtu, 0.0055 lb-VOC/MMBtu, or 0.00285 lb-SOx/MMBtu. [District Rule 2201] N</w:t>
      </w:r>
    </w:p>
    <w:p w:rsidR="00993F1E" w:rsidRPr="00993F1E" w:rsidRDefault="00993F1E" w:rsidP="00993F1E">
      <w:pPr>
        <w:tabs>
          <w:tab w:val="left" w:pos="240"/>
          <w:tab w:val="left" w:pos="1080"/>
        </w:tabs>
      </w:pPr>
      <w:r w:rsidRPr="00993F1E">
        <w:cr/>
        <w:t>{1464} The minimum operating temperature for the combustion chamber of the catalytic oxidizer shall be maintained at or above 600 degrees F. [District Rule 2201] N</w:t>
      </w:r>
    </w:p>
    <w:p w:rsidR="00993F1E" w:rsidRPr="00993F1E" w:rsidRDefault="00993F1E" w:rsidP="00993F1E">
      <w:pPr>
        <w:tabs>
          <w:tab w:val="left" w:pos="240"/>
          <w:tab w:val="left" w:pos="1080"/>
        </w:tabs>
      </w:pPr>
      <w:r w:rsidRPr="00993F1E">
        <w:cr/>
        <w:t>{2861} The catalytic oxidizer shall be equipped with an operational temperature gauge to indicate the temperature of the combustion chamber.  A continuously recording device shall be utilized to indicate the combustion chamber temperature during operation. [District Rule 2201] N</w:t>
      </w:r>
    </w:p>
    <w:p w:rsidR="00993F1E" w:rsidRPr="00993F1E" w:rsidRDefault="00993F1E" w:rsidP="00993F1E">
      <w:pPr>
        <w:tabs>
          <w:tab w:val="left" w:pos="240"/>
          <w:tab w:val="left" w:pos="1080"/>
        </w:tabs>
      </w:pPr>
      <w:r w:rsidRPr="00993F1E">
        <w:cr/>
        <w:t>{1470} The soil remediation system shall not be operated unless the combustion chamber is at or above minimum operating temperature.  The system shall automatically terminate operation if the temperature drops below the minimum operating temperature. [District Rule 2201] N</w:t>
      </w:r>
    </w:p>
    <w:p w:rsidR="00993F1E" w:rsidRPr="00993F1E" w:rsidRDefault="00993F1E" w:rsidP="00993F1E">
      <w:pPr>
        <w:tabs>
          <w:tab w:val="left" w:pos="240"/>
          <w:tab w:val="left" w:pos="1080"/>
        </w:tabs>
      </w:pPr>
      <w:r w:rsidRPr="00993F1E">
        <w:cr/>
        <w:t>{1413} Sampling ports adequate for extraction of grab samples, measurement of gas flow rate, and use of an FID, PID, or other District-approved VOC detection device shall be provided for both the influent and the effluent gas streams. [District Rule 1081] N</w:t>
      </w:r>
    </w:p>
    <w:p w:rsidR="00993F1E" w:rsidRPr="00993F1E" w:rsidRDefault="00993F1E" w:rsidP="00993F1E">
      <w:pPr>
        <w:tabs>
          <w:tab w:val="left" w:pos="240"/>
          <w:tab w:val="left" w:pos="1080"/>
        </w:tabs>
      </w:pPr>
      <w:r w:rsidRPr="00993F1E">
        <w:cr/>
        <w:t>{1414} Laboratory samples shall be taken at the initial inspection, under the supervision of the APCD Inspector.  Samples shall be taken from both the influent and the effluent gas stream sampling ports. [District Rule 1081] N</w:t>
      </w:r>
    </w:p>
    <w:p w:rsidR="00993F1E" w:rsidRPr="00993F1E" w:rsidRDefault="00993F1E" w:rsidP="00993F1E">
      <w:r w:rsidRPr="00993F1E">
        <w:cr/>
        <w:t>{1416} Measurements to determine the influent and the effluent gas flow rates shall be taken at the initial inspection.  Flow rate calculations shall be submitted to the District along with the laboratory sample analysis results. [District Rule 1081] N</w:t>
      </w:r>
    </w:p>
    <w:p w:rsidR="00993F1E" w:rsidRPr="00993F1E" w:rsidRDefault="00993F1E" w:rsidP="00993F1E">
      <w:pPr>
        <w:tabs>
          <w:tab w:val="left" w:pos="240"/>
          <w:tab w:val="left" w:pos="1080"/>
        </w:tabs>
      </w:pPr>
      <w:r w:rsidRPr="00993F1E">
        <w:cr/>
        <w:t>{1417} Initial compliance with VOC emission rate and control efficiency requirements shall be demonstrated by the results of the laboratory sample analysis.  The results shall be submitted to the District within 60 days of the test. [District Rule 1081] N</w:t>
      </w:r>
    </w:p>
    <w:p w:rsidR="00993F1E" w:rsidRPr="00993F1E" w:rsidRDefault="00993F1E" w:rsidP="00993F1E">
      <w:pPr>
        <w:tabs>
          <w:tab w:val="left" w:pos="240"/>
          <w:tab w:val="left" w:pos="1080"/>
        </w:tabs>
      </w:pPr>
      <w:r w:rsidRPr="00993F1E">
        <w:cr/>
      </w:r>
      <w:r w:rsidRPr="00993F1E">
        <w:rPr>
          <w:color w:val="FF0000"/>
        </w:rPr>
        <w:t>{403 modified} Ongoing compliance with VOC emission rate and control efficiency requirements shall be demonstrated at least once per month by sampling both the influent and the effluent gas streams with an FID, PID, or other District-approved VOC detection device. [District Rule 1081] N</w:t>
      </w:r>
    </w:p>
    <w:p w:rsidR="00993F1E" w:rsidRPr="00993F1E" w:rsidRDefault="00993F1E" w:rsidP="00993F1E">
      <w:pPr>
        <w:tabs>
          <w:tab w:val="left" w:pos="240"/>
          <w:tab w:val="left" w:pos="1080"/>
        </w:tabs>
      </w:pPr>
      <w:r w:rsidRPr="00993F1E">
        <w:cr/>
        <w:t>{1425} Records of the cumulative running time and the measured influent and effluent VOC concentrations shall be maintained. [District Rule 2201] N</w:t>
      </w:r>
    </w:p>
    <w:p w:rsidR="00993F1E" w:rsidRPr="00993F1E" w:rsidRDefault="00993F1E" w:rsidP="00993F1E">
      <w:pPr>
        <w:tabs>
          <w:tab w:val="left" w:pos="240"/>
          <w:tab w:val="left" w:pos="1080"/>
        </w:tabs>
      </w:pPr>
      <w:r w:rsidRPr="00993F1E">
        <w:cr/>
        <w:t>{2780} All records shall be retained for a minimum of five years, and shall be made available for District inspection upon request. [District Rule 2201] N</w:t>
      </w:r>
    </w:p>
    <w:p w:rsidR="00993F1E" w:rsidRPr="00993F1E" w:rsidRDefault="00993F1E" w:rsidP="00993F1E">
      <w:pPr>
        <w:tabs>
          <w:tab w:val="left" w:pos="240"/>
        </w:tabs>
        <w:rPr>
          <w:b/>
          <w:bCs/>
          <w:sz w:val="28"/>
        </w:rPr>
      </w:pPr>
    </w:p>
    <w:p w:rsidR="00993F1E" w:rsidRPr="00993F1E" w:rsidRDefault="00993F1E" w:rsidP="00993F1E">
      <w:pPr>
        <w:tabs>
          <w:tab w:val="left" w:pos="240"/>
        </w:tabs>
        <w:rPr>
          <w:b/>
          <w:bCs/>
          <w:sz w:val="28"/>
        </w:rPr>
      </w:pPr>
      <w:r w:rsidRPr="00993F1E">
        <w:rPr>
          <w:b/>
          <w:bCs/>
          <w:sz w:val="28"/>
        </w:rPr>
        <w:t>Catalytic Oxidizer (LPG)</w:t>
      </w:r>
    </w:p>
    <w:p w:rsidR="00993F1E" w:rsidRPr="00993F1E" w:rsidRDefault="00993F1E" w:rsidP="00993F1E">
      <w:pPr>
        <w:tabs>
          <w:tab w:val="left" w:pos="240"/>
          <w:tab w:val="left" w:pos="1080"/>
        </w:tabs>
        <w:rPr>
          <w:b/>
          <w:bCs/>
        </w:rPr>
      </w:pPr>
    </w:p>
    <w:p w:rsidR="00993F1E" w:rsidRPr="00993F1E" w:rsidRDefault="00993F1E" w:rsidP="00993F1E">
      <w:pPr>
        <w:tabs>
          <w:tab w:val="left" w:pos="240"/>
          <w:tab w:val="left" w:pos="1080"/>
        </w:tabs>
      </w:pPr>
      <w:r w:rsidRPr="00993F1E">
        <w:lastRenderedPageBreak/>
        <w:t>{1420} The soil remediation system shall be maintained in proper operating condition at all times. [District Rule 2201] N</w:t>
      </w:r>
    </w:p>
    <w:p w:rsidR="00993F1E" w:rsidRPr="00993F1E" w:rsidRDefault="00993F1E" w:rsidP="00993F1E">
      <w:pPr>
        <w:tabs>
          <w:tab w:val="left" w:pos="240"/>
          <w:tab w:val="left" w:pos="1080"/>
        </w:tabs>
      </w:pPr>
      <w:r w:rsidRPr="00993F1E">
        <w:cr/>
        <w:t>{15} No air contaminant shall be discharged into the atmosphere for a period or periods aggregating more than three minutes in any one hour which is as dark as, or darker than, Ringelmann 1 or 20% opacity. [District Rule 4101] N</w:t>
      </w:r>
    </w:p>
    <w:p w:rsidR="00993F1E" w:rsidRPr="00993F1E" w:rsidRDefault="00993F1E" w:rsidP="00993F1E">
      <w:pPr>
        <w:tabs>
          <w:tab w:val="left" w:pos="240"/>
          <w:tab w:val="left" w:pos="1080"/>
        </w:tabs>
      </w:pPr>
      <w:r w:rsidRPr="00993F1E">
        <w:cr/>
        <w:t>{98} No air contaminant shall be released into the atmosphere which causes a public nuisance. [District Rule 4102] N</w:t>
      </w:r>
    </w:p>
    <w:p w:rsidR="00993F1E" w:rsidRPr="00993F1E" w:rsidRDefault="00993F1E" w:rsidP="00993F1E">
      <w:pPr>
        <w:tabs>
          <w:tab w:val="left" w:pos="240"/>
          <w:tab w:val="left" w:pos="1080"/>
        </w:tabs>
      </w:pPr>
      <w:r w:rsidRPr="00993F1E">
        <w:cr/>
        <w:t>{14} Particulate matter emissions shall not exceed 0.1 grains/dscf in concentration. [District Rule 4201] N</w:t>
      </w:r>
    </w:p>
    <w:p w:rsidR="00993F1E" w:rsidRPr="00993F1E" w:rsidRDefault="00993F1E" w:rsidP="00993F1E">
      <w:pPr>
        <w:tabs>
          <w:tab w:val="left" w:pos="240"/>
          <w:tab w:val="left" w:pos="1080"/>
        </w:tabs>
      </w:pPr>
      <w:r w:rsidRPr="00993F1E">
        <w:cr/>
        <w:t>{2859} Only liquefied petroleum gas shall be used as auxiliary fuel for the combustion of VOC. [District Rule 2201] N</w:t>
      </w:r>
    </w:p>
    <w:p w:rsidR="00993F1E" w:rsidRPr="00993F1E" w:rsidRDefault="00993F1E" w:rsidP="00993F1E">
      <w:pPr>
        <w:tabs>
          <w:tab w:val="left" w:pos="240"/>
          <w:tab w:val="left" w:pos="1080"/>
        </w:tabs>
      </w:pPr>
      <w:r w:rsidRPr="00993F1E">
        <w:cr/>
        <w:t>{1423} Either the VOC control efficiency shall not be less than 95%, or the total VOC emission rate shall not exceed 2 pounds in any one day. [District Rule 2201] N</w:t>
      </w:r>
    </w:p>
    <w:p w:rsidR="00993F1E" w:rsidRPr="00993F1E" w:rsidRDefault="00993F1E" w:rsidP="00993F1E">
      <w:pPr>
        <w:tabs>
          <w:tab w:val="left" w:pos="240"/>
          <w:tab w:val="left" w:pos="1080"/>
        </w:tabs>
      </w:pPr>
    </w:p>
    <w:p w:rsidR="00993F1E" w:rsidRPr="00993F1E" w:rsidRDefault="00993F1E" w:rsidP="00993F1E">
      <w:pPr>
        <w:tabs>
          <w:tab w:val="left" w:pos="240"/>
          <w:tab w:val="left" w:pos="1080"/>
        </w:tabs>
        <w:rPr>
          <w:color w:val="FF0000"/>
        </w:rPr>
      </w:pPr>
      <w:r w:rsidRPr="00993F1E">
        <w:rPr>
          <w:color w:val="FF0000"/>
        </w:rPr>
        <w:t xml:space="preserve">The effluent gas flowrate after the control device shall not exceed </w:t>
      </w:r>
      <w:r w:rsidRPr="00612D30">
        <w:rPr>
          <w:color w:val="0070C0"/>
        </w:rPr>
        <w:t>xxx</w:t>
      </w:r>
      <w:r w:rsidRPr="00993F1E">
        <w:rPr>
          <w:color w:val="FF0000"/>
        </w:rPr>
        <w:t xml:space="preserve"> scfm.  [District Rule 2201] N</w:t>
      </w:r>
    </w:p>
    <w:p w:rsidR="00993F1E" w:rsidRPr="00993F1E" w:rsidRDefault="00993F1E" w:rsidP="00993F1E">
      <w:pPr>
        <w:tabs>
          <w:tab w:val="left" w:pos="240"/>
          <w:tab w:val="left" w:pos="1080"/>
        </w:tabs>
      </w:pPr>
    </w:p>
    <w:p w:rsidR="00993F1E" w:rsidRPr="00993F1E" w:rsidRDefault="00993F1E" w:rsidP="00993F1E">
      <w:r w:rsidRPr="00993F1E">
        <w:rPr>
          <w:color w:val="FF0000"/>
        </w:rPr>
        <w:t xml:space="preserve">The effluent VOC concentration level after the control device shall not exceed </w:t>
      </w:r>
      <w:r w:rsidRPr="00612D30">
        <w:rPr>
          <w:color w:val="0070C0"/>
        </w:rPr>
        <w:t>xxx</w:t>
      </w:r>
      <w:r w:rsidRPr="00993F1E">
        <w:rPr>
          <w:color w:val="FF0000"/>
        </w:rPr>
        <w:t xml:space="preserve"> ppmv, methane. [District Rule 2201]</w:t>
      </w:r>
    </w:p>
    <w:p w:rsidR="00993F1E" w:rsidRPr="00993F1E" w:rsidRDefault="00993F1E" w:rsidP="00993F1E">
      <w:pPr>
        <w:tabs>
          <w:tab w:val="left" w:pos="240"/>
          <w:tab w:val="left" w:pos="1080"/>
        </w:tabs>
      </w:pPr>
      <w:r w:rsidRPr="00993F1E">
        <w:cr/>
        <w:t xml:space="preserve">{1465} The total VOC emissions from the soil remediation system served by the catalytic oxidizer shall not exceed </w:t>
      </w:r>
      <w:r w:rsidRPr="00612D30">
        <w:rPr>
          <w:color w:val="0070C0"/>
        </w:rPr>
        <w:t>xxx</w:t>
      </w:r>
      <w:r w:rsidRPr="00993F1E">
        <w:t xml:space="preserve"> pounds in any one day. [District Rule 2201] N</w:t>
      </w:r>
    </w:p>
    <w:p w:rsidR="00993F1E" w:rsidRPr="00993F1E" w:rsidRDefault="00993F1E" w:rsidP="00993F1E">
      <w:r w:rsidRPr="00993F1E">
        <w:cr/>
        <w:t xml:space="preserve">The emissions from the </w:t>
      </w:r>
      <w:r w:rsidRPr="00993F1E">
        <w:rPr>
          <w:color w:val="FF0000"/>
        </w:rPr>
        <w:t>combustion of LPG</w:t>
      </w:r>
      <w:r w:rsidRPr="00993F1E">
        <w:t xml:space="preserve"> shall not exceed either of the following limits: 0.15 lb-NOx/MMBtu, 0.021 lb-CO/MMBtu, 0.0044 lb-PM</w:t>
      </w:r>
      <w:r w:rsidRPr="00993F1E">
        <w:rPr>
          <w:vertAlign w:val="subscript"/>
        </w:rPr>
        <w:t>10</w:t>
      </w:r>
      <w:r w:rsidRPr="00993F1E">
        <w:t xml:space="preserve">/MMBtu, 0.0055 lb-VOC/MMBtu, or 0.0164 lb-SOx/MMBtu.  [District Rule 2201] </w:t>
      </w:r>
    </w:p>
    <w:p w:rsidR="00993F1E" w:rsidRPr="00993F1E" w:rsidRDefault="00993F1E" w:rsidP="00993F1E">
      <w:pPr>
        <w:tabs>
          <w:tab w:val="left" w:pos="240"/>
          <w:tab w:val="left" w:pos="1080"/>
        </w:tabs>
      </w:pPr>
      <w:r w:rsidRPr="00993F1E">
        <w:cr/>
        <w:t>{1464} The minimum operating temperature for the combustion chamber of the catalytic oxidizer shall be maintained at or above 600 degrees F. [District Rule 2201] N</w:t>
      </w:r>
    </w:p>
    <w:p w:rsidR="00993F1E" w:rsidRPr="00993F1E" w:rsidRDefault="00993F1E" w:rsidP="00993F1E">
      <w:pPr>
        <w:tabs>
          <w:tab w:val="left" w:pos="240"/>
          <w:tab w:val="left" w:pos="1080"/>
        </w:tabs>
      </w:pPr>
      <w:r w:rsidRPr="00993F1E">
        <w:cr/>
        <w:t>{2861} The catalytic oxidizer shall be equipped with an operational temperature gauge to indicate the temperature of the combustion chamber.  A continuously recording device shall be utilized to indicate the combustion chamber temperature during operation. [District Rule 2201] N</w:t>
      </w:r>
    </w:p>
    <w:p w:rsidR="00993F1E" w:rsidRPr="00993F1E" w:rsidRDefault="00993F1E" w:rsidP="00993F1E">
      <w:pPr>
        <w:tabs>
          <w:tab w:val="left" w:pos="240"/>
          <w:tab w:val="left" w:pos="1080"/>
        </w:tabs>
      </w:pPr>
      <w:r w:rsidRPr="00993F1E">
        <w:cr/>
        <w:t>{1470} The soil remediation system shall not be operated unless the combustion chamber is at or above minimum operating temperature.  The system shall automatically terminate operation if the temperature drops below the minimum operating temperature. [District Rule 2201] N</w:t>
      </w:r>
    </w:p>
    <w:p w:rsidR="00993F1E" w:rsidRPr="00993F1E" w:rsidRDefault="00993F1E" w:rsidP="00993F1E">
      <w:pPr>
        <w:tabs>
          <w:tab w:val="left" w:pos="240"/>
          <w:tab w:val="left" w:pos="1080"/>
        </w:tabs>
      </w:pPr>
      <w:r w:rsidRPr="00993F1E">
        <w:cr/>
        <w:t>{1413} Sampling ports adequate for extraction of grab samples, measurement of gas flow rate, and use of an FID, PID, or other District-approved VOC detection device shall be provided for both the influent and the effluent gas streams. [District Rule 1081] N</w:t>
      </w:r>
    </w:p>
    <w:p w:rsidR="00993F1E" w:rsidRPr="00993F1E" w:rsidRDefault="00993F1E" w:rsidP="00993F1E">
      <w:pPr>
        <w:tabs>
          <w:tab w:val="left" w:pos="240"/>
          <w:tab w:val="left" w:pos="1080"/>
        </w:tabs>
      </w:pPr>
      <w:r w:rsidRPr="00993F1E">
        <w:lastRenderedPageBreak/>
        <w:cr/>
        <w:t>{1414} Laboratory samples shall be taken at the initial inspection, under the supervision of the APCD Inspector.  Samples shall be taken from both the influent and the effluent gas stream sampling ports. [District Rule 1081] N</w:t>
      </w:r>
    </w:p>
    <w:p w:rsidR="00993F1E" w:rsidRPr="00993F1E" w:rsidRDefault="00993F1E" w:rsidP="00993F1E">
      <w:r w:rsidRPr="00993F1E">
        <w:cr/>
        <w:t>{1416} Measurements to determine the influent and the effluent gas flow rates shall be taken at the initial inspection.  Flow rate calculations shall be submitted to the District along with the laboratory sample analysis results. [District Rule 1081] N</w:t>
      </w:r>
    </w:p>
    <w:p w:rsidR="00993F1E" w:rsidRPr="00993F1E" w:rsidRDefault="00993F1E" w:rsidP="00993F1E">
      <w:pPr>
        <w:tabs>
          <w:tab w:val="left" w:pos="240"/>
          <w:tab w:val="left" w:pos="1080"/>
        </w:tabs>
      </w:pPr>
      <w:r w:rsidRPr="00993F1E">
        <w:cr/>
        <w:t>{1417} Initial compliance with VOC emission rate and control efficiency requirements shall be demonstrated by the results of the laboratory sample analysis.  The results shall be submitted to the District within 60 days of the test. [District Rule 1081] N</w:t>
      </w:r>
    </w:p>
    <w:p w:rsidR="00993F1E" w:rsidRPr="00993F1E" w:rsidRDefault="00993F1E" w:rsidP="00993F1E">
      <w:pPr>
        <w:tabs>
          <w:tab w:val="left" w:pos="240"/>
          <w:tab w:val="left" w:pos="1080"/>
        </w:tabs>
      </w:pPr>
      <w:r w:rsidRPr="00993F1E">
        <w:cr/>
      </w:r>
      <w:r w:rsidRPr="00993F1E">
        <w:rPr>
          <w:color w:val="FF0000"/>
        </w:rPr>
        <w:t>{403 modified} Ongoing compliance with VOC emission rate and control efficiency requirements shall be demonstrated at least once per month by sampling both the influent and the effluent gas streams with an FID, PID, or other District-approved VOC detection device. [District Rule 1081] N</w:t>
      </w:r>
    </w:p>
    <w:p w:rsidR="00993F1E" w:rsidRPr="00993F1E" w:rsidRDefault="00993F1E" w:rsidP="00993F1E">
      <w:pPr>
        <w:tabs>
          <w:tab w:val="left" w:pos="240"/>
          <w:tab w:val="left" w:pos="1080"/>
        </w:tabs>
      </w:pPr>
      <w:r w:rsidRPr="00993F1E">
        <w:cr/>
        <w:t>{1425} Records of the cumulative running time and the measured influent and effluent VOC concentrations shall be maintained. [District Rule 2201] N</w:t>
      </w:r>
    </w:p>
    <w:p w:rsidR="00993F1E" w:rsidRPr="00993F1E" w:rsidRDefault="00993F1E" w:rsidP="00993F1E">
      <w:pPr>
        <w:tabs>
          <w:tab w:val="left" w:pos="240"/>
          <w:tab w:val="left" w:pos="1080"/>
        </w:tabs>
      </w:pPr>
      <w:r w:rsidRPr="00993F1E">
        <w:cr/>
        <w:t>{2780} All records shall be retained for a minimum of five years, and shall be made available for District inspection upon request. [District Rule 2201] N</w:t>
      </w:r>
    </w:p>
    <w:p w:rsidR="00993F1E" w:rsidRPr="00993F1E" w:rsidRDefault="00993F1E" w:rsidP="00993F1E">
      <w:pPr>
        <w:tabs>
          <w:tab w:val="left" w:pos="240"/>
        </w:tabs>
      </w:pPr>
    </w:p>
    <w:p w:rsidR="00993F1E" w:rsidRPr="00993F1E" w:rsidRDefault="00993F1E" w:rsidP="00993F1E">
      <w:pPr>
        <w:tabs>
          <w:tab w:val="left" w:pos="240"/>
        </w:tabs>
        <w:rPr>
          <w:b/>
          <w:bCs/>
          <w:sz w:val="28"/>
        </w:rPr>
      </w:pPr>
      <w:r w:rsidRPr="00993F1E">
        <w:rPr>
          <w:b/>
          <w:bCs/>
          <w:sz w:val="28"/>
        </w:rPr>
        <w:t>Thermal and Catalytic Oxidizer (Natural Gas)</w:t>
      </w:r>
    </w:p>
    <w:p w:rsidR="00993F1E" w:rsidRPr="00993F1E" w:rsidRDefault="00993F1E" w:rsidP="00993F1E">
      <w:pPr>
        <w:tabs>
          <w:tab w:val="left" w:pos="240"/>
          <w:tab w:val="left" w:pos="1080"/>
        </w:tabs>
        <w:ind w:left="1080"/>
        <w:rPr>
          <w:b/>
          <w:bCs/>
        </w:rPr>
      </w:pPr>
    </w:p>
    <w:p w:rsidR="00993F1E" w:rsidRPr="00993F1E" w:rsidRDefault="00993F1E" w:rsidP="00993F1E">
      <w:pPr>
        <w:tabs>
          <w:tab w:val="left" w:pos="0"/>
        </w:tabs>
        <w:suppressAutoHyphens/>
        <w:jc w:val="both"/>
        <w:rPr>
          <w:spacing w:val="-3"/>
        </w:rPr>
      </w:pPr>
      <w:r w:rsidRPr="00993F1E">
        <w:rPr>
          <w:spacing w:val="-3"/>
        </w:rPr>
        <w:t>{1420} The soil remediation system shall be maintained in proper operating condition at all times. [District Rule 2201] N</w:t>
      </w:r>
    </w:p>
    <w:p w:rsidR="00993F1E" w:rsidRPr="00993F1E" w:rsidRDefault="00993F1E" w:rsidP="00993F1E">
      <w:pPr>
        <w:tabs>
          <w:tab w:val="left" w:pos="0"/>
        </w:tabs>
        <w:suppressAutoHyphens/>
        <w:jc w:val="both"/>
        <w:rPr>
          <w:spacing w:val="-3"/>
        </w:rPr>
      </w:pPr>
      <w:r w:rsidRPr="00993F1E">
        <w:rPr>
          <w:spacing w:val="-3"/>
        </w:rPr>
        <w:cr/>
        <w:t>{15} No air contaminant shall be discharged into the atmosphere for a period or periods aggregating more than three minutes in any one hour which is as dark as, or darker than, Ringelmann 1 or 20% opacity. [District Rule 4101] N</w:t>
      </w:r>
    </w:p>
    <w:p w:rsidR="00993F1E" w:rsidRPr="00993F1E" w:rsidRDefault="00993F1E" w:rsidP="00993F1E">
      <w:pPr>
        <w:tabs>
          <w:tab w:val="left" w:pos="0"/>
        </w:tabs>
        <w:suppressAutoHyphens/>
        <w:jc w:val="both"/>
        <w:rPr>
          <w:spacing w:val="-3"/>
        </w:rPr>
      </w:pPr>
      <w:r w:rsidRPr="00993F1E">
        <w:rPr>
          <w:spacing w:val="-3"/>
        </w:rPr>
        <w:cr/>
        <w:t>{98} No air contaminant shall be released into the atmosphere which causes a public nuisance. [District Rule 4102] N</w:t>
      </w:r>
    </w:p>
    <w:p w:rsidR="00993F1E" w:rsidRPr="00993F1E" w:rsidRDefault="00993F1E" w:rsidP="00993F1E">
      <w:pPr>
        <w:tabs>
          <w:tab w:val="left" w:pos="0"/>
        </w:tabs>
        <w:suppressAutoHyphens/>
        <w:jc w:val="both"/>
        <w:rPr>
          <w:spacing w:val="-3"/>
        </w:rPr>
      </w:pPr>
      <w:r w:rsidRPr="00993F1E">
        <w:rPr>
          <w:spacing w:val="-3"/>
        </w:rPr>
        <w:cr/>
        <w:t>{14} Particulate matter emissions shall not exceed 0.1 grains/dscf in concentration. [District Rule 4201] N</w:t>
      </w:r>
    </w:p>
    <w:p w:rsidR="00993F1E" w:rsidRPr="00993F1E" w:rsidRDefault="00993F1E" w:rsidP="00993F1E">
      <w:pPr>
        <w:tabs>
          <w:tab w:val="left" w:pos="0"/>
        </w:tabs>
        <w:suppressAutoHyphens/>
        <w:jc w:val="both"/>
        <w:rPr>
          <w:spacing w:val="-3"/>
        </w:rPr>
      </w:pPr>
      <w:r w:rsidRPr="00993F1E">
        <w:rPr>
          <w:spacing w:val="-3"/>
        </w:rPr>
        <w:cr/>
        <w:t>{2857} Only natural gas shall be used as auxiliary fuel for the combustion of VOC. [District Rule 2201] N</w:t>
      </w:r>
    </w:p>
    <w:p w:rsidR="00993F1E" w:rsidRPr="00993F1E" w:rsidRDefault="00993F1E" w:rsidP="00993F1E">
      <w:pPr>
        <w:tabs>
          <w:tab w:val="left" w:pos="0"/>
        </w:tabs>
        <w:suppressAutoHyphens/>
        <w:jc w:val="both"/>
        <w:rPr>
          <w:spacing w:val="-3"/>
        </w:rPr>
      </w:pPr>
      <w:r w:rsidRPr="00993F1E">
        <w:rPr>
          <w:spacing w:val="-3"/>
        </w:rPr>
        <w:cr/>
        <w:t>{1423} Either the VOC control efficiency shall not be less than 95%, or the total VOC emission rate shall not exceed 2 pounds in any one day. [District Rule 2201] N</w:t>
      </w:r>
    </w:p>
    <w:p w:rsidR="00993F1E" w:rsidRPr="00993F1E" w:rsidRDefault="00993F1E" w:rsidP="00993F1E"/>
    <w:p w:rsidR="00993F1E" w:rsidRPr="00993F1E" w:rsidRDefault="00993F1E" w:rsidP="00993F1E">
      <w:r w:rsidRPr="00993F1E">
        <w:t xml:space="preserve">{modified 1463} The total VOC emissions from the soil remediation system served by the thermal  or catalytic oxidizer shall not exceed </w:t>
      </w:r>
      <w:r w:rsidRPr="00612D30">
        <w:rPr>
          <w:color w:val="0070C0"/>
        </w:rPr>
        <w:t>XX</w:t>
      </w:r>
      <w:r w:rsidRPr="00993F1E">
        <w:t xml:space="preserve"> pounds in any one day. [District Rule 2201] N</w:t>
      </w:r>
    </w:p>
    <w:p w:rsidR="00993F1E" w:rsidRPr="00993F1E" w:rsidRDefault="00993F1E" w:rsidP="00993F1E">
      <w:pPr>
        <w:tabs>
          <w:tab w:val="left" w:pos="240"/>
          <w:tab w:val="left" w:pos="1080"/>
        </w:tabs>
      </w:pPr>
      <w:r w:rsidRPr="00993F1E">
        <w:lastRenderedPageBreak/>
        <w:cr/>
        <w:t xml:space="preserve">The emissions from the </w:t>
      </w:r>
      <w:r w:rsidRPr="00993F1E">
        <w:rPr>
          <w:color w:val="FF0000"/>
        </w:rPr>
        <w:t>combustion of natural gas</w:t>
      </w:r>
      <w:r w:rsidRPr="00993F1E">
        <w:t xml:space="preserve"> shall not exceed any of the following limits: 0.1 lb-NOx/MMBtu, 0.084 lb-CO/MMBtu, 0.0076 lb-PM</w:t>
      </w:r>
      <w:r w:rsidRPr="00993F1E">
        <w:rPr>
          <w:vertAlign w:val="subscript"/>
        </w:rPr>
        <w:t>10</w:t>
      </w:r>
      <w:r w:rsidRPr="00993F1E">
        <w:t>/MMBtu, 0.0055 lb-VOC/MMBtu, or 0.00285 lb-SOx/MMBtu. [District Rule 2201] N</w:t>
      </w:r>
    </w:p>
    <w:p w:rsidR="00993F1E" w:rsidRPr="00993F1E" w:rsidRDefault="00993F1E" w:rsidP="00993F1E">
      <w:pPr>
        <w:tabs>
          <w:tab w:val="left" w:pos="0"/>
        </w:tabs>
        <w:suppressAutoHyphens/>
        <w:jc w:val="both"/>
        <w:rPr>
          <w:spacing w:val="-3"/>
        </w:rPr>
      </w:pPr>
      <w:r w:rsidRPr="00993F1E">
        <w:rPr>
          <w:spacing w:val="-3"/>
        </w:rPr>
        <w:cr/>
        <w:t>{1462} The minimum operating temperature for the combustion chamber of the thermal oxidizer shall be maintained at or above 1400 degrees F. [District Rule 2201] N</w:t>
      </w:r>
    </w:p>
    <w:p w:rsidR="00993F1E" w:rsidRPr="00993F1E" w:rsidRDefault="00993F1E" w:rsidP="00993F1E">
      <w:pPr>
        <w:tabs>
          <w:tab w:val="left" w:pos="0"/>
        </w:tabs>
        <w:suppressAutoHyphens/>
        <w:jc w:val="both"/>
        <w:rPr>
          <w:spacing w:val="-3"/>
        </w:rPr>
      </w:pPr>
      <w:r w:rsidRPr="00993F1E">
        <w:rPr>
          <w:spacing w:val="-3"/>
        </w:rPr>
        <w:cr/>
        <w:t>{1464} The minimum operating temperature for the combustion chamber of the catalytic oxidizer shall be maintained at or above 600 degrees F. [District Rule 2201] N</w:t>
      </w:r>
    </w:p>
    <w:p w:rsidR="00993F1E" w:rsidRPr="00993F1E" w:rsidRDefault="00993F1E" w:rsidP="00993F1E">
      <w:pPr>
        <w:tabs>
          <w:tab w:val="left" w:pos="0"/>
        </w:tabs>
        <w:suppressAutoHyphens/>
        <w:jc w:val="both"/>
        <w:rPr>
          <w:spacing w:val="-3"/>
        </w:rPr>
      </w:pPr>
      <w:r w:rsidRPr="00993F1E">
        <w:rPr>
          <w:spacing w:val="-3"/>
        </w:rPr>
        <w:cr/>
        <w:t>{1469} The thermal/catalytic oxidizer shall be equipped with an operational temperature gauge to indicate the temperature of the combustion chamber.  A continuously recording device shall be utilized to indicate the combustion chamber temperature during operation. [District Rule 2201] N</w:t>
      </w:r>
    </w:p>
    <w:p w:rsidR="00993F1E" w:rsidRPr="00993F1E" w:rsidRDefault="00993F1E" w:rsidP="00993F1E">
      <w:pPr>
        <w:tabs>
          <w:tab w:val="left" w:pos="0"/>
        </w:tabs>
        <w:suppressAutoHyphens/>
        <w:jc w:val="both"/>
        <w:rPr>
          <w:spacing w:val="-3"/>
        </w:rPr>
      </w:pPr>
      <w:r w:rsidRPr="00993F1E">
        <w:rPr>
          <w:spacing w:val="-3"/>
        </w:rPr>
        <w:cr/>
        <w:t>{1470} The soil remediation system shall not be operated unless the combustion chamber is at or above minimum operating temperature.  The system shall automatically terminate operation if the temperature drops below the minimum operating temperature. [District Rule 2201] N</w:t>
      </w:r>
    </w:p>
    <w:p w:rsidR="00993F1E" w:rsidRPr="00993F1E" w:rsidRDefault="00993F1E" w:rsidP="00993F1E">
      <w:pPr>
        <w:tabs>
          <w:tab w:val="left" w:pos="0"/>
        </w:tabs>
        <w:suppressAutoHyphens/>
        <w:jc w:val="both"/>
        <w:rPr>
          <w:spacing w:val="-3"/>
        </w:rPr>
      </w:pPr>
      <w:r w:rsidRPr="00993F1E">
        <w:rPr>
          <w:spacing w:val="-3"/>
        </w:rPr>
        <w:cr/>
        <w:t>{1413} Sampling ports adequate for extraction of grab samples, measurement of gas flow rate, and use of an FID, PID, or other District-approved VOC detection device shall be provided for both the influent and the effluent gas streams. [District Rule 1081] N</w:t>
      </w:r>
    </w:p>
    <w:p w:rsidR="00993F1E" w:rsidRPr="00993F1E" w:rsidRDefault="00993F1E" w:rsidP="00993F1E">
      <w:pPr>
        <w:tabs>
          <w:tab w:val="left" w:pos="0"/>
        </w:tabs>
        <w:suppressAutoHyphens/>
        <w:jc w:val="both"/>
        <w:rPr>
          <w:spacing w:val="-3"/>
        </w:rPr>
      </w:pPr>
      <w:r w:rsidRPr="00993F1E">
        <w:rPr>
          <w:spacing w:val="-3"/>
        </w:rPr>
        <w:cr/>
        <w:t>{1414} Laboratory samples shall be taken at the initial inspection, under the supervision of the APCD Inspector.  Samples shall be taken from both the influent and the effluent gas stream sampling ports. [District Rule 1081] N</w:t>
      </w:r>
    </w:p>
    <w:p w:rsidR="00993F1E" w:rsidRPr="00993F1E" w:rsidRDefault="00993F1E" w:rsidP="00993F1E">
      <w:pPr>
        <w:tabs>
          <w:tab w:val="left" w:pos="0"/>
        </w:tabs>
        <w:suppressAutoHyphens/>
        <w:jc w:val="both"/>
        <w:rPr>
          <w:spacing w:val="-3"/>
        </w:rPr>
      </w:pPr>
      <w:r w:rsidRPr="00993F1E">
        <w:rPr>
          <w:spacing w:val="-3"/>
        </w:rPr>
        <w:cr/>
        <w:t>{1416} Measurements to determine the influent and the effluent gas flow rates shall be taken at the initial inspection.  Flow rate calculations shall be submitted to the District along with the laboratory sample analysis results. [District Rule 1081] N</w:t>
      </w:r>
    </w:p>
    <w:p w:rsidR="00993F1E" w:rsidRPr="00993F1E" w:rsidRDefault="00993F1E" w:rsidP="00993F1E">
      <w:pPr>
        <w:tabs>
          <w:tab w:val="left" w:pos="0"/>
        </w:tabs>
        <w:suppressAutoHyphens/>
        <w:jc w:val="both"/>
        <w:rPr>
          <w:spacing w:val="-3"/>
        </w:rPr>
      </w:pPr>
      <w:r w:rsidRPr="00993F1E">
        <w:rPr>
          <w:spacing w:val="-3"/>
        </w:rPr>
        <w:cr/>
        <w:t>{1417} Initial compliance with VOC emission rate and control efficiency requirements shall be demonstrated by the results of the laboratory sample analysis.  The results shall be submitted to the District within 60 days of the test. [District Rule 1081] N</w:t>
      </w:r>
    </w:p>
    <w:p w:rsidR="00993F1E" w:rsidRPr="00993F1E" w:rsidRDefault="00993F1E" w:rsidP="00993F1E">
      <w:pPr>
        <w:tabs>
          <w:tab w:val="left" w:pos="0"/>
        </w:tabs>
        <w:suppressAutoHyphens/>
        <w:jc w:val="both"/>
        <w:rPr>
          <w:spacing w:val="-3"/>
        </w:rPr>
      </w:pPr>
      <w:r w:rsidRPr="00993F1E">
        <w:rPr>
          <w:spacing w:val="-3"/>
        </w:rPr>
        <w:cr/>
        <w:t>{403} Ongoing compliance with VOC emission rate and control efficiency requirements shall be demonstrated by sampling both the influent and the effluent gas streams with an FID, PID, or other District-approved VOC detection device. [District Rule 1081] N</w:t>
      </w:r>
    </w:p>
    <w:p w:rsidR="00993F1E" w:rsidRPr="00993F1E" w:rsidRDefault="00993F1E" w:rsidP="00993F1E">
      <w:pPr>
        <w:tabs>
          <w:tab w:val="left" w:pos="0"/>
        </w:tabs>
        <w:suppressAutoHyphens/>
        <w:jc w:val="both"/>
        <w:rPr>
          <w:spacing w:val="-3"/>
        </w:rPr>
      </w:pPr>
      <w:r w:rsidRPr="00993F1E">
        <w:rPr>
          <w:spacing w:val="-3"/>
        </w:rPr>
        <w:cr/>
        <w:t>{1356} Sampling to demonstrate ongoing compliance shall be performed at least once per month. [District Rule 1081] N</w:t>
      </w:r>
    </w:p>
    <w:p w:rsidR="00993F1E" w:rsidRPr="00993F1E" w:rsidRDefault="00993F1E" w:rsidP="00993F1E">
      <w:pPr>
        <w:tabs>
          <w:tab w:val="left" w:pos="0"/>
        </w:tabs>
        <w:suppressAutoHyphens/>
        <w:jc w:val="both"/>
        <w:rPr>
          <w:spacing w:val="-3"/>
        </w:rPr>
      </w:pPr>
      <w:r w:rsidRPr="00993F1E">
        <w:rPr>
          <w:spacing w:val="-3"/>
        </w:rPr>
        <w:cr/>
        <w:t>{1425} Records of the cumulative running time and the measured influent and effluent VOC concentrations shall be maintained. [District Rule 2201] N</w:t>
      </w:r>
    </w:p>
    <w:p w:rsidR="00993F1E" w:rsidRPr="00993F1E" w:rsidRDefault="00993F1E" w:rsidP="00993F1E">
      <w:pPr>
        <w:tabs>
          <w:tab w:val="left" w:pos="0"/>
        </w:tabs>
        <w:suppressAutoHyphens/>
        <w:jc w:val="both"/>
        <w:rPr>
          <w:spacing w:val="-3"/>
        </w:rPr>
      </w:pPr>
      <w:r w:rsidRPr="00993F1E">
        <w:rPr>
          <w:spacing w:val="-3"/>
        </w:rPr>
        <w:cr/>
        <w:t xml:space="preserve">{1471} The Air Pollution Control Inspector shall be notified in writing when the thermal </w:t>
      </w:r>
      <w:r w:rsidRPr="00993F1E">
        <w:rPr>
          <w:spacing w:val="-3"/>
        </w:rPr>
        <w:lastRenderedPageBreak/>
        <w:t>incinerator will be modified to operate in the catalytic oxidizer mode prior to the modification. [District Rule 2201] N</w:t>
      </w:r>
    </w:p>
    <w:p w:rsidR="00993F1E" w:rsidRPr="00993F1E" w:rsidRDefault="00993F1E" w:rsidP="00993F1E">
      <w:pPr>
        <w:tabs>
          <w:tab w:val="left" w:pos="0"/>
        </w:tabs>
        <w:suppressAutoHyphens/>
        <w:jc w:val="both"/>
        <w:rPr>
          <w:spacing w:val="-3"/>
        </w:rPr>
      </w:pPr>
      <w:r w:rsidRPr="00993F1E">
        <w:rPr>
          <w:spacing w:val="-3"/>
        </w:rPr>
        <w:cr/>
        <w:t>{2780} All records shall be retained for a minimum of five years, and shall be made available for District inspection upon request. [District Rule 2201] N</w:t>
      </w:r>
    </w:p>
    <w:p w:rsidR="00993F1E" w:rsidRPr="00993F1E" w:rsidRDefault="00993F1E" w:rsidP="00993F1E"/>
    <w:p w:rsidR="00993F1E" w:rsidRPr="00993F1E" w:rsidRDefault="00993F1E" w:rsidP="00993F1E">
      <w:pPr>
        <w:rPr>
          <w:b/>
          <w:bCs/>
        </w:rPr>
      </w:pPr>
      <w:r w:rsidRPr="00993F1E">
        <w:rPr>
          <w:b/>
          <w:bCs/>
        </w:rPr>
        <w:t>Thermal and Catalytic (LPG)</w:t>
      </w:r>
    </w:p>
    <w:p w:rsidR="00993F1E" w:rsidRPr="00993F1E" w:rsidRDefault="00993F1E" w:rsidP="00993F1E">
      <w:pPr>
        <w:tabs>
          <w:tab w:val="left" w:pos="240"/>
          <w:tab w:val="left" w:pos="1080"/>
        </w:tabs>
        <w:ind w:left="600"/>
      </w:pPr>
    </w:p>
    <w:p w:rsidR="00993F1E" w:rsidRPr="00993F1E" w:rsidRDefault="00993F1E" w:rsidP="00993F1E">
      <w:r w:rsidRPr="00993F1E">
        <w:t>{1420} The soil remediation system shall be maintained in proper operating condition at all times. [District Rule 2201] N</w:t>
      </w:r>
    </w:p>
    <w:p w:rsidR="00993F1E" w:rsidRPr="00993F1E" w:rsidRDefault="00993F1E" w:rsidP="00993F1E">
      <w:r w:rsidRPr="00993F1E">
        <w:cr/>
        <w:t>{15} No air contaminant shall be discharged into the atmosphere for a period or periods aggregating more than three minutes in any one hour which is as dark as, or darker than, Ringelmann 1 or 20% opacity. [District Rule 4101] N</w:t>
      </w:r>
    </w:p>
    <w:p w:rsidR="00993F1E" w:rsidRPr="00993F1E" w:rsidRDefault="00993F1E" w:rsidP="00993F1E">
      <w:r w:rsidRPr="00993F1E">
        <w:cr/>
        <w:t>{98} No air contaminant shall be released into the atmosphere which causes a public nuisance. [District Rule 4102] N</w:t>
      </w:r>
    </w:p>
    <w:p w:rsidR="00993F1E" w:rsidRPr="00993F1E" w:rsidRDefault="00993F1E" w:rsidP="00993F1E">
      <w:r w:rsidRPr="00993F1E">
        <w:cr/>
        <w:t>{14} Particulate matter emissions shall not exceed 0.1 grains/dscf in concentration. [District Rule 4201] N</w:t>
      </w:r>
    </w:p>
    <w:p w:rsidR="00993F1E" w:rsidRPr="00993F1E" w:rsidRDefault="00993F1E" w:rsidP="00993F1E">
      <w:r w:rsidRPr="00993F1E">
        <w:cr/>
        <w:t>{2859} Only liquefied petroleum gas shall be used as auxiliary fuel for the combustion of VOC. [District Rule 2201] N</w:t>
      </w:r>
    </w:p>
    <w:p w:rsidR="00993F1E" w:rsidRPr="00993F1E" w:rsidRDefault="00993F1E" w:rsidP="00993F1E">
      <w:r w:rsidRPr="00993F1E">
        <w:cr/>
        <w:t>{1423} Either the VOC control efficiency shall not be less than 95%, or the total VOC emission rate shall not exceed 2 pounds in any one day. [District Rule 2201] N</w:t>
      </w:r>
    </w:p>
    <w:p w:rsidR="00993F1E" w:rsidRPr="00993F1E" w:rsidRDefault="00993F1E" w:rsidP="00993F1E"/>
    <w:p w:rsidR="00993F1E" w:rsidRPr="00993F1E" w:rsidRDefault="00993F1E" w:rsidP="00993F1E">
      <w:pPr>
        <w:tabs>
          <w:tab w:val="left" w:pos="240"/>
          <w:tab w:val="left" w:pos="1080"/>
        </w:tabs>
        <w:rPr>
          <w:color w:val="FF0000"/>
        </w:rPr>
      </w:pPr>
      <w:r w:rsidRPr="00993F1E">
        <w:rPr>
          <w:color w:val="FF0000"/>
        </w:rPr>
        <w:t xml:space="preserve">The effluent gas flowrate after the control device shall not exceed </w:t>
      </w:r>
      <w:r w:rsidRPr="00612D30">
        <w:rPr>
          <w:color w:val="0070C0"/>
        </w:rPr>
        <w:t>xxx</w:t>
      </w:r>
      <w:r w:rsidRPr="00993F1E">
        <w:rPr>
          <w:color w:val="FF0000"/>
        </w:rPr>
        <w:t xml:space="preserve"> scfm.  [District Rule 2201] N</w:t>
      </w:r>
    </w:p>
    <w:p w:rsidR="00993F1E" w:rsidRPr="00993F1E" w:rsidRDefault="00993F1E" w:rsidP="00993F1E">
      <w:pPr>
        <w:tabs>
          <w:tab w:val="left" w:pos="240"/>
          <w:tab w:val="left" w:pos="1080"/>
        </w:tabs>
      </w:pPr>
    </w:p>
    <w:p w:rsidR="00993F1E" w:rsidRPr="00993F1E" w:rsidRDefault="00993F1E" w:rsidP="00993F1E">
      <w:r w:rsidRPr="00993F1E">
        <w:rPr>
          <w:color w:val="FF0000"/>
        </w:rPr>
        <w:t xml:space="preserve">The effluent VOC concentration level after the control device shall not exceed </w:t>
      </w:r>
      <w:r w:rsidRPr="00612D30">
        <w:rPr>
          <w:color w:val="0070C0"/>
        </w:rPr>
        <w:t>xxx</w:t>
      </w:r>
      <w:r w:rsidRPr="00993F1E">
        <w:rPr>
          <w:color w:val="FF0000"/>
        </w:rPr>
        <w:t xml:space="preserve"> ppmv, as methane. [District Rule 2201]</w:t>
      </w:r>
    </w:p>
    <w:p w:rsidR="00993F1E" w:rsidRPr="00993F1E" w:rsidRDefault="00993F1E" w:rsidP="00993F1E">
      <w:r w:rsidRPr="00993F1E">
        <w:cr/>
        <w:t xml:space="preserve">{modified 1463} The total VOC emissions from the soil remediation system served by the thermal or catalytic oxidizer shall not exceed </w:t>
      </w:r>
      <w:r w:rsidRPr="00612D30">
        <w:rPr>
          <w:color w:val="0070C0"/>
        </w:rPr>
        <w:t>XX</w:t>
      </w:r>
      <w:r w:rsidRPr="00993F1E">
        <w:t xml:space="preserve"> pounds in any one day. [District Rule 2201] N</w:t>
      </w:r>
    </w:p>
    <w:p w:rsidR="00993F1E" w:rsidRPr="00993F1E" w:rsidRDefault="00993F1E" w:rsidP="00993F1E">
      <w:r w:rsidRPr="00993F1E">
        <w:cr/>
        <w:t xml:space="preserve">{1465} The total VOC emissions from the soil remediation system served by the catalytic oxidizer shall not exceed </w:t>
      </w:r>
      <w:r w:rsidRPr="00612D30">
        <w:rPr>
          <w:color w:val="0070C0"/>
        </w:rPr>
        <w:t>xxx</w:t>
      </w:r>
      <w:r w:rsidRPr="00993F1E">
        <w:t xml:space="preserve"> pounds in any one day. [District Rule 2201] N</w:t>
      </w:r>
    </w:p>
    <w:p w:rsidR="00993F1E" w:rsidRPr="00993F1E" w:rsidRDefault="00993F1E" w:rsidP="00993F1E">
      <w:r w:rsidRPr="00993F1E">
        <w:cr/>
        <w:t xml:space="preserve">The emissions from the </w:t>
      </w:r>
      <w:r w:rsidRPr="00993F1E">
        <w:rPr>
          <w:color w:val="0000FF"/>
        </w:rPr>
        <w:t>combustion of LPG</w:t>
      </w:r>
      <w:r w:rsidRPr="00993F1E">
        <w:t xml:space="preserve"> shall not exceed either of the following limits: 0.15 lb-NOx/MMBtu, 0.021 lb-CO/MMBtu, 0.0044 lb-PM</w:t>
      </w:r>
      <w:r w:rsidRPr="00993F1E">
        <w:rPr>
          <w:vertAlign w:val="subscript"/>
        </w:rPr>
        <w:t>10</w:t>
      </w:r>
      <w:r w:rsidRPr="00993F1E">
        <w:t xml:space="preserve">/MMBtu, 0.0055 lb-VOC/MMBtu, or 0.0164 lb-SOx/MMBtu.  [District Rule 2201] </w:t>
      </w:r>
    </w:p>
    <w:p w:rsidR="00993F1E" w:rsidRPr="00993F1E" w:rsidRDefault="00993F1E" w:rsidP="00993F1E">
      <w:r w:rsidRPr="00993F1E">
        <w:cr/>
        <w:t>{1462} The minimum operating temperature for the combustion chamber of the thermal oxidizer shall be maintained at or above 1400 degrees F. [District Rule 2201] N</w:t>
      </w:r>
    </w:p>
    <w:p w:rsidR="00993F1E" w:rsidRPr="00993F1E" w:rsidRDefault="00993F1E" w:rsidP="00993F1E">
      <w:r w:rsidRPr="00993F1E">
        <w:lastRenderedPageBreak/>
        <w:cr/>
        <w:t>{1464} The minimum operating temperature for the combustion chamber of the catalytic oxidizer shall be maintained at or above 600 degrees F. [District Rule 2201] N</w:t>
      </w:r>
    </w:p>
    <w:p w:rsidR="00993F1E" w:rsidRPr="00993F1E" w:rsidRDefault="00993F1E" w:rsidP="00993F1E">
      <w:r w:rsidRPr="00993F1E">
        <w:cr/>
        <w:t>{1469} The thermal/catalytic oxidizer shall be equipped with an operational temperature gauge to indicate the temperature of the combustion chamber.  A continuously recording device shall be utilized to indicate the combustion chamber temperature during operation. [District Rule 2201] N</w:t>
      </w:r>
    </w:p>
    <w:p w:rsidR="00993F1E" w:rsidRPr="00993F1E" w:rsidRDefault="00993F1E" w:rsidP="00993F1E">
      <w:r w:rsidRPr="00993F1E">
        <w:cr/>
        <w:t>{1470} The soil remediation system shall not be operated unless the combustion chamber is at or above minimum operating temperature.  The system shall automatically terminate operation if the temperature drops below the minimum operating temperature. [District Rule 2201] N</w:t>
      </w:r>
    </w:p>
    <w:p w:rsidR="00993F1E" w:rsidRPr="00993F1E" w:rsidRDefault="00993F1E" w:rsidP="00993F1E">
      <w:r w:rsidRPr="00993F1E">
        <w:cr/>
        <w:t>{1413} Sampling ports adequate for extraction of grab samples, measurement of gas flow rate, and use of an FID, PID, or other District-approved VOC detection device shall be provided for both the influent and the effluent gas streams. [District Rule 1081] N</w:t>
      </w:r>
    </w:p>
    <w:p w:rsidR="00993F1E" w:rsidRPr="00993F1E" w:rsidRDefault="00993F1E" w:rsidP="00993F1E">
      <w:r w:rsidRPr="00993F1E">
        <w:cr/>
        <w:t>{1414} Laboratory samples shall be taken at the initial inspection, under the supervision of the APCD Inspector.  Samples shall be taken from both the influent and the effluent gas stream sampling ports. [District Rule 1081] N</w:t>
      </w:r>
    </w:p>
    <w:p w:rsidR="00993F1E" w:rsidRPr="00993F1E" w:rsidRDefault="00993F1E" w:rsidP="00993F1E">
      <w:r w:rsidRPr="00993F1E">
        <w:cr/>
        <w:t>{1416} Measurements to determine the influent and the effluent gas flow rates shall be taken at the initial inspection.  Flow rate calculations shall be submitted to the District along with the laboratory sample analysis results. [District Rule 1081] N</w:t>
      </w:r>
    </w:p>
    <w:p w:rsidR="00993F1E" w:rsidRPr="00993F1E" w:rsidRDefault="00993F1E" w:rsidP="00993F1E">
      <w:r w:rsidRPr="00993F1E">
        <w:cr/>
        <w:t>{1417} Initial compliance with VOC emission rate and control efficiency requirements shall be demonstrated by the results of the laboratory sample analysis.  The results shall be submitted to the District within 60 days of the test. [District Rule 1081] N</w:t>
      </w:r>
    </w:p>
    <w:p w:rsidR="00993F1E" w:rsidRPr="00993F1E" w:rsidRDefault="00993F1E" w:rsidP="00993F1E">
      <w:pPr>
        <w:rPr>
          <w:color w:val="FF0000"/>
        </w:rPr>
      </w:pPr>
      <w:r w:rsidRPr="00993F1E">
        <w:cr/>
      </w:r>
      <w:r w:rsidRPr="00993F1E">
        <w:rPr>
          <w:color w:val="FF0000"/>
        </w:rPr>
        <w:t>{403 modified} Ongoing compliance with VOC emission rate and control efficiency requirements shall be demonstrated at least once per month by sampling both the influent and the effluent gas streams with an FID, PID, or other District-approved VOC detection device. [District Rule 1081] N</w:t>
      </w:r>
    </w:p>
    <w:p w:rsidR="00993F1E" w:rsidRPr="00993F1E" w:rsidRDefault="00993F1E" w:rsidP="00993F1E">
      <w:pPr>
        <w:rPr>
          <w:color w:val="FF0000"/>
        </w:rPr>
      </w:pPr>
      <w:r w:rsidRPr="00993F1E">
        <w:cr/>
      </w:r>
      <w:r w:rsidRPr="00993F1E">
        <w:rPr>
          <w:color w:val="FF0000"/>
        </w:rPr>
        <w:t>After the thermal incinerator is modified to operate in catalytic oxidizer mode, compliance with VOC emission rate and control efficiency requirements shall be demonstrated by sampling both the influent and the effluent gas streams with an FID, PID, or other District-approved VOC detection device. [District Rule 1081] N</w:t>
      </w:r>
    </w:p>
    <w:p w:rsidR="00993F1E" w:rsidRPr="00993F1E" w:rsidRDefault="00993F1E" w:rsidP="00993F1E">
      <w:pPr>
        <w:rPr>
          <w:color w:val="FF0000"/>
        </w:rPr>
      </w:pPr>
    </w:p>
    <w:p w:rsidR="00993F1E" w:rsidRPr="00993F1E" w:rsidRDefault="00993F1E" w:rsidP="00993F1E">
      <w:r w:rsidRPr="00993F1E">
        <w:t>{1425} Records of the cumulative running time and the measured influent and effluent VOC concentrations shall be maintained. [District Rule 2201] N</w:t>
      </w:r>
    </w:p>
    <w:p w:rsidR="00993F1E" w:rsidRPr="00993F1E" w:rsidRDefault="00993F1E" w:rsidP="00993F1E"/>
    <w:p w:rsidR="00993F1E" w:rsidRPr="00993F1E" w:rsidRDefault="00993F1E" w:rsidP="00993F1E">
      <w:r w:rsidRPr="00993F1E">
        <w:t>{1471} The Air Pollution Control Inspector shall be notified in writing when the thermal incinerator will be modified to operate in the catalytic oxidizer mode prior to the modification. [District Rule 2201] N</w:t>
      </w:r>
    </w:p>
    <w:p w:rsidR="00993F1E" w:rsidRPr="00993F1E" w:rsidRDefault="00993F1E" w:rsidP="00993F1E">
      <w:r w:rsidRPr="00993F1E">
        <w:lastRenderedPageBreak/>
        <w:cr/>
        <w:t>{2780} All records shall be retained for a minimum of five years, and shall be made available for District inspection upon request. [District Rule 2201] N</w:t>
      </w:r>
    </w:p>
    <w:p w:rsidR="00993F1E" w:rsidRPr="00993F1E" w:rsidRDefault="00993F1E" w:rsidP="00993F1E">
      <w:pPr>
        <w:keepNext/>
        <w:autoSpaceDE w:val="0"/>
        <w:autoSpaceDN w:val="0"/>
        <w:adjustRightInd w:val="0"/>
        <w:jc w:val="both"/>
      </w:pPr>
    </w:p>
    <w:p w:rsidR="0019180C" w:rsidRDefault="0019180C">
      <w:pPr>
        <w:rPr>
          <w:b/>
          <w:bCs/>
          <w:sz w:val="28"/>
        </w:rPr>
      </w:pPr>
    </w:p>
    <w:sectPr w:rsidR="0019180C">
      <w:headerReference w:type="default" r:id="rId19"/>
      <w:footerReference w:type="even" r:id="rId20"/>
      <w:footerReference w:type="default" r:id="rId21"/>
      <w:pgSz w:w="12240" w:h="15840" w:code="1"/>
      <w:pgMar w:top="994" w:right="1440" w:bottom="1440" w:left="1440" w:header="720" w:footer="806"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1E6" w:rsidRDefault="00B031E6">
      <w:r>
        <w:separator/>
      </w:r>
    </w:p>
  </w:endnote>
  <w:endnote w:type="continuationSeparator" w:id="0">
    <w:p w:rsidR="00B031E6" w:rsidRDefault="00B0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E6" w:rsidRDefault="00B031E6">
    <w:pPr>
      <w:pStyle w:val="Footer"/>
      <w:jc w:val="center"/>
    </w:pPr>
    <w:r>
      <w:t xml:space="preserve">Page </w:t>
    </w:r>
    <w:r>
      <w:fldChar w:fldCharType="begin"/>
    </w:r>
    <w:r>
      <w:instrText xml:space="preserve"> PAGE   \* MERGEFORMAT </w:instrText>
    </w:r>
    <w:r>
      <w:fldChar w:fldCharType="separate"/>
    </w:r>
    <w:r w:rsidR="00FE113B">
      <w:rPr>
        <w:noProof/>
      </w:rPr>
      <w:t>1</w:t>
    </w:r>
    <w:r>
      <w:rPr>
        <w:noProof/>
      </w:rPr>
      <w:fldChar w:fldCharType="end"/>
    </w:r>
  </w:p>
  <w:p w:rsidR="00B031E6" w:rsidRDefault="00B031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E6" w:rsidRDefault="00B031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031E6" w:rsidRDefault="00B031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E6" w:rsidRDefault="00B031E6">
    <w:pPr>
      <w:pStyle w:val="Footer"/>
      <w:jc w:val="center"/>
    </w:pPr>
    <w:r>
      <w:t xml:space="preserve">Page </w:t>
    </w:r>
    <w:r>
      <w:fldChar w:fldCharType="begin"/>
    </w:r>
    <w:r>
      <w:instrText xml:space="preserve"> PAGE   \* MERGEFORMAT </w:instrText>
    </w:r>
    <w:r>
      <w:fldChar w:fldCharType="separate"/>
    </w:r>
    <w:r w:rsidR="00FE113B">
      <w:rPr>
        <w:noProof/>
      </w:rPr>
      <w:t>26</w:t>
    </w:r>
    <w:r>
      <w:rPr>
        <w:noProof/>
      </w:rPr>
      <w:fldChar w:fldCharType="end"/>
    </w:r>
  </w:p>
  <w:p w:rsidR="00B031E6" w:rsidRDefault="00B031E6">
    <w:pPr>
      <w:pStyle w:val="Footer"/>
      <w:jc w:val="center"/>
      <w:rPr>
        <w:sz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E6" w:rsidRDefault="00B031E6">
    <w:pPr>
      <w:pStyle w:val="Footer"/>
      <w:jc w:val="center"/>
    </w:pPr>
  </w:p>
  <w:p w:rsidR="00B031E6" w:rsidRDefault="00B031E6">
    <w:pPr>
      <w:pStyle w:val="Footer"/>
      <w:jc w:val="center"/>
      <w:rPr>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E6" w:rsidRDefault="00B031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031E6" w:rsidRDefault="00B031E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E6" w:rsidRDefault="00B031E6">
    <w:pPr>
      <w:pStyle w:val="Footer"/>
      <w:jc w:val="center"/>
      <w:rPr>
        <w:sz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E6" w:rsidRDefault="00B031E6">
    <w:pPr>
      <w:framePr w:wrap="around" w:vAnchor="text" w:hAnchor="margin" w:xAlign="center" w:y="1"/>
    </w:pPr>
    <w:r>
      <w:fldChar w:fldCharType="begin"/>
    </w:r>
    <w:r>
      <w:instrText xml:space="preserve">PAGE  </w:instrText>
    </w:r>
    <w:r>
      <w:fldChar w:fldCharType="separate"/>
    </w:r>
    <w:r>
      <w:rPr>
        <w:noProof/>
      </w:rPr>
      <w:t>4</w:t>
    </w:r>
    <w:r>
      <w:fldChar w:fldCharType="end"/>
    </w:r>
  </w:p>
  <w:p w:rsidR="00B031E6" w:rsidRDefault="00B031E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E6" w:rsidRDefault="00B031E6">
    <w:pPr>
      <w:jc w:val="cen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1E6" w:rsidRDefault="00B031E6">
      <w:r>
        <w:separator/>
      </w:r>
    </w:p>
  </w:footnote>
  <w:footnote w:type="continuationSeparator" w:id="0">
    <w:p w:rsidR="00B031E6" w:rsidRDefault="00B031E6">
      <w:r>
        <w:continuationSeparator/>
      </w:r>
    </w:p>
  </w:footnote>
  <w:footnote w:id="1">
    <w:p w:rsidR="00B031E6" w:rsidRDefault="00B031E6">
      <w:pPr>
        <w:pStyle w:val="FootnoteText"/>
        <w:rPr>
          <w:rFonts w:ascii="Arial" w:hAnsi="Arial" w:cs="Arial"/>
          <w:sz w:val="22"/>
        </w:rPr>
      </w:pPr>
      <w:r>
        <w:rPr>
          <w:rStyle w:val="FootnoteReference"/>
          <w:rFonts w:ascii="Arial" w:hAnsi="Arial" w:cs="Arial"/>
          <w:sz w:val="22"/>
        </w:rPr>
        <w:footnoteRef/>
      </w:r>
      <w:r>
        <w:rPr>
          <w:rFonts w:ascii="Arial" w:hAnsi="Arial" w:cs="Arial"/>
          <w:sz w:val="22"/>
        </w:rPr>
        <w:t xml:space="preserve"> Based on a natural gas HHV of 1000 Btu/scf and a total sulfur content of 1.0 gr/100 scf of gas (District Policy APR 1720).</w:t>
      </w:r>
    </w:p>
  </w:footnote>
  <w:footnote w:id="2">
    <w:p w:rsidR="00B031E6" w:rsidRDefault="00B031E6">
      <w:pPr>
        <w:pStyle w:val="FootnoteText"/>
        <w:rPr>
          <w:rFonts w:ascii="Arial" w:hAnsi="Arial" w:cs="Arial"/>
          <w:sz w:val="22"/>
        </w:rPr>
      </w:pPr>
      <w:r>
        <w:rPr>
          <w:rStyle w:val="FootnoteReference"/>
          <w:rFonts w:ascii="Arial" w:hAnsi="Arial" w:cs="Arial"/>
          <w:sz w:val="22"/>
        </w:rPr>
        <w:footnoteRef/>
      </w:r>
      <w:r>
        <w:rPr>
          <w:rFonts w:ascii="Arial" w:hAnsi="Arial" w:cs="Arial"/>
          <w:sz w:val="22"/>
        </w:rPr>
        <w:t xml:space="preserve"> </w:t>
      </w:r>
      <w:r>
        <w:rPr>
          <w:rFonts w:ascii="Arial" w:hAnsi="Arial" w:cs="Arial"/>
          <w:spacing w:val="-3"/>
          <w:sz w:val="22"/>
        </w:rPr>
        <w:t>Based on a heating value of 91,500 Btu/gal for propane (AP-42, Section 1.5, 10/96).</w:t>
      </w:r>
    </w:p>
  </w:footnote>
  <w:footnote w:id="3">
    <w:p w:rsidR="00B031E6" w:rsidRDefault="00B031E6">
      <w:pPr>
        <w:pStyle w:val="FootnoteText"/>
        <w:rPr>
          <w:rFonts w:ascii="Arial" w:hAnsi="Arial" w:cs="Arial"/>
          <w:sz w:val="22"/>
        </w:rPr>
      </w:pPr>
      <w:r>
        <w:rPr>
          <w:rStyle w:val="FootnoteReference"/>
          <w:rFonts w:ascii="Arial" w:hAnsi="Arial" w:cs="Arial"/>
          <w:sz w:val="22"/>
        </w:rPr>
        <w:footnoteRef/>
      </w:r>
      <w:r>
        <w:rPr>
          <w:rFonts w:ascii="Arial" w:hAnsi="Arial" w:cs="Arial"/>
          <w:sz w:val="22"/>
        </w:rPr>
        <w:t xml:space="preserve"> SOx = 0.1(S), where S = sulfur content in gr/100 scf = 0.1 (15) = 1.5 lb/1000 gal =&gt; (1.5 lb/1000 gal </w:t>
      </w:r>
      <w:r>
        <w:rPr>
          <w:rFonts w:ascii="Arial" w:hAnsi="Arial" w:cs="Arial"/>
          <w:sz w:val="22"/>
        </w:rPr>
        <w:sym w:font="Symbol" w:char="F0B8"/>
      </w:r>
      <w:r>
        <w:rPr>
          <w:rFonts w:ascii="Arial" w:hAnsi="Arial" w:cs="Arial"/>
          <w:sz w:val="22"/>
        </w:rPr>
        <w:t xml:space="preserve"> 0.0915 MMBtu/gal) = 0.0164 lb/MMBtu where, maximum sulfur content of LPG is 15 gr/100 scf (CRC Handbook of Tables for Applied Engineering Science, 2</w:t>
      </w:r>
      <w:r>
        <w:rPr>
          <w:rFonts w:ascii="Arial" w:hAnsi="Arial" w:cs="Arial"/>
          <w:sz w:val="22"/>
          <w:vertAlign w:val="superscript"/>
        </w:rPr>
        <w:t>nd</w:t>
      </w:r>
      <w:r>
        <w:rPr>
          <w:rFonts w:ascii="Arial" w:hAnsi="Arial" w:cs="Arial"/>
          <w:sz w:val="22"/>
        </w:rPr>
        <w:t xml:space="preserve"> Edition, page 390).</w:t>
      </w:r>
    </w:p>
  </w:footnote>
  <w:footnote w:id="4">
    <w:p w:rsidR="00B031E6" w:rsidRDefault="00B031E6">
      <w:pPr>
        <w:pStyle w:val="FootnoteText"/>
        <w:rPr>
          <w:rFonts w:ascii="Arial" w:hAnsi="Arial" w:cs="Arial"/>
        </w:rPr>
      </w:pPr>
      <w:r>
        <w:rPr>
          <w:rStyle w:val="FootnoteReference"/>
          <w:rFonts w:ascii="Arial" w:hAnsi="Arial" w:cs="Arial"/>
        </w:rPr>
        <w:footnoteRef/>
      </w:r>
      <w:r>
        <w:rPr>
          <w:rFonts w:ascii="Arial" w:hAnsi="Arial" w:cs="Arial"/>
        </w:rPr>
        <w:t xml:space="preserve"> Data from Timothy Souther of Geomatrix – May 8,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E6" w:rsidRDefault="00B031E6">
    <w:pPr>
      <w:pStyle w:val="Header"/>
      <w:jc w:val="right"/>
      <w:rPr>
        <w:iCs/>
        <w:color w:val="0000FF"/>
      </w:rPr>
    </w:pPr>
    <w:r>
      <w:rPr>
        <w:iCs/>
        <w:color w:val="0000FF"/>
      </w:rPr>
      <w:t>Facility Name</w:t>
    </w:r>
  </w:p>
  <w:p w:rsidR="00B031E6" w:rsidRDefault="00B031E6">
    <w:pPr>
      <w:pStyle w:val="Header"/>
      <w:jc w:val="right"/>
      <w:rPr>
        <w:iCs/>
        <w:color w:val="0000FF"/>
      </w:rPr>
    </w:pPr>
    <w:r>
      <w:rPr>
        <w:iCs/>
        <w:noProof/>
        <w:color w:val="0000FF"/>
        <w:sz w:val="20"/>
      </w:rPr>
      <mc:AlternateContent>
        <mc:Choice Requires="wps">
          <w:drawing>
            <wp:anchor distT="0" distB="0" distL="114300" distR="114300" simplePos="0" relativeHeight="251657728" behindDoc="0" locked="0" layoutInCell="1" allowOverlap="1" wp14:anchorId="6FE73A26" wp14:editId="14AEB6AC">
              <wp:simplePos x="0" y="0"/>
              <wp:positionH relativeFrom="column">
                <wp:posOffset>-62865</wp:posOffset>
              </wp:positionH>
              <wp:positionV relativeFrom="paragraph">
                <wp:posOffset>170180</wp:posOffset>
              </wp:positionV>
              <wp:extent cx="65151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3.4pt" to="508.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XGm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"/>
          </w:pict>
        </mc:Fallback>
      </mc:AlternateContent>
    </w:r>
    <w:r>
      <w:rPr>
        <w:iCs/>
        <w:color w:val="0000FF"/>
      </w:rPr>
      <w:t>Facility #, Project #</w:t>
    </w:r>
  </w:p>
  <w:p w:rsidR="00B031E6" w:rsidRDefault="00B031E6">
    <w:pPr>
      <w:pStyle w:val="Header"/>
      <w:jc w:val="right"/>
      <w:rPr>
        <w:iCs/>
        <w:color w:val="0000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E6" w:rsidRDefault="00B031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E6" w:rsidRDefault="00B031E6">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2F30"/>
    <w:multiLevelType w:val="hybridMultilevel"/>
    <w:tmpl w:val="10BA00F8"/>
    <w:lvl w:ilvl="0" w:tplc="7158D6B2">
      <w:start w:val="1"/>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0A3D7A67"/>
    <w:multiLevelType w:val="hybridMultilevel"/>
    <w:tmpl w:val="2F043166"/>
    <w:lvl w:ilvl="0" w:tplc="A430777C">
      <w:start w:val="8"/>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10013C24"/>
    <w:multiLevelType w:val="hybridMultilevel"/>
    <w:tmpl w:val="4D8A0D4A"/>
    <w:lvl w:ilvl="0" w:tplc="2FFE8240">
      <w:start w:val="3"/>
      <w:numFmt w:val="bullet"/>
      <w:lvlText w:val="-"/>
      <w:lvlJc w:val="left"/>
      <w:pPr>
        <w:tabs>
          <w:tab w:val="num" w:pos="1710"/>
        </w:tabs>
        <w:ind w:left="1710" w:hanging="360"/>
      </w:pPr>
      <w:rPr>
        <w:rFonts w:ascii="Times New Roman" w:eastAsia="Times New Roman" w:hAnsi="Times New Roman" w:cs="Times New Roman"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3">
    <w:nsid w:val="19877B92"/>
    <w:multiLevelType w:val="hybridMultilevel"/>
    <w:tmpl w:val="EA54275E"/>
    <w:lvl w:ilvl="0" w:tplc="9DE6ED0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AFF6570"/>
    <w:multiLevelType w:val="hybridMultilevel"/>
    <w:tmpl w:val="E95852F2"/>
    <w:lvl w:ilvl="0" w:tplc="95DCADB4">
      <w:start w:val="4"/>
      <w:numFmt w:val="upperLetter"/>
      <w:lvlText w:val="%1."/>
      <w:lvlJc w:val="left"/>
      <w:pPr>
        <w:tabs>
          <w:tab w:val="num" w:pos="840"/>
        </w:tabs>
        <w:ind w:left="840" w:hanging="480"/>
      </w:pPr>
      <w:rPr>
        <w:rFonts w:hint="default"/>
      </w:rPr>
    </w:lvl>
    <w:lvl w:ilvl="1" w:tplc="9738DBD0">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FE2B48"/>
    <w:multiLevelType w:val="hybridMultilevel"/>
    <w:tmpl w:val="620E4726"/>
    <w:lvl w:ilvl="0" w:tplc="F9E45464">
      <w:start w:val="1"/>
      <w:numFmt w:val="bullet"/>
      <w:lvlText w:val=""/>
      <w:lvlJc w:val="left"/>
      <w:pPr>
        <w:tabs>
          <w:tab w:val="num" w:pos="540"/>
        </w:tabs>
        <w:ind w:left="540" w:hanging="360"/>
      </w:pPr>
      <w:rPr>
        <w:rFonts w:ascii="Symbol" w:hAnsi="Symbol" w:cs="Times New Roman" w:hint="default"/>
        <w:sz w:val="28"/>
      </w:rPr>
    </w:lvl>
    <w:lvl w:ilvl="1" w:tplc="04090003" w:tentative="1">
      <w:start w:val="1"/>
      <w:numFmt w:val="bullet"/>
      <w:lvlText w:val="o"/>
      <w:lvlJc w:val="left"/>
      <w:pPr>
        <w:tabs>
          <w:tab w:val="num" w:pos="252"/>
        </w:tabs>
        <w:ind w:left="252" w:hanging="360"/>
      </w:pPr>
      <w:rPr>
        <w:rFonts w:ascii="Courier New" w:hAnsi="Courier New" w:hint="default"/>
      </w:rPr>
    </w:lvl>
    <w:lvl w:ilvl="2" w:tplc="04090005" w:tentative="1">
      <w:start w:val="1"/>
      <w:numFmt w:val="bullet"/>
      <w:lvlText w:val=""/>
      <w:lvlJc w:val="left"/>
      <w:pPr>
        <w:tabs>
          <w:tab w:val="num" w:pos="972"/>
        </w:tabs>
        <w:ind w:left="972" w:hanging="360"/>
      </w:pPr>
      <w:rPr>
        <w:rFonts w:ascii="Wingdings" w:hAnsi="Wingdings" w:hint="default"/>
      </w:rPr>
    </w:lvl>
    <w:lvl w:ilvl="3" w:tplc="04090001" w:tentative="1">
      <w:start w:val="1"/>
      <w:numFmt w:val="bullet"/>
      <w:lvlText w:val=""/>
      <w:lvlJc w:val="left"/>
      <w:pPr>
        <w:tabs>
          <w:tab w:val="num" w:pos="1692"/>
        </w:tabs>
        <w:ind w:left="1692" w:hanging="360"/>
      </w:pPr>
      <w:rPr>
        <w:rFonts w:ascii="Symbol" w:hAnsi="Symbol" w:hint="default"/>
      </w:rPr>
    </w:lvl>
    <w:lvl w:ilvl="4" w:tplc="04090003" w:tentative="1">
      <w:start w:val="1"/>
      <w:numFmt w:val="bullet"/>
      <w:lvlText w:val="o"/>
      <w:lvlJc w:val="left"/>
      <w:pPr>
        <w:tabs>
          <w:tab w:val="num" w:pos="2412"/>
        </w:tabs>
        <w:ind w:left="2412" w:hanging="360"/>
      </w:pPr>
      <w:rPr>
        <w:rFonts w:ascii="Courier New" w:hAnsi="Courier New" w:hint="default"/>
      </w:rPr>
    </w:lvl>
    <w:lvl w:ilvl="5" w:tplc="04090005" w:tentative="1">
      <w:start w:val="1"/>
      <w:numFmt w:val="bullet"/>
      <w:lvlText w:val=""/>
      <w:lvlJc w:val="left"/>
      <w:pPr>
        <w:tabs>
          <w:tab w:val="num" w:pos="3132"/>
        </w:tabs>
        <w:ind w:left="3132" w:hanging="360"/>
      </w:pPr>
      <w:rPr>
        <w:rFonts w:ascii="Wingdings" w:hAnsi="Wingdings" w:hint="default"/>
      </w:rPr>
    </w:lvl>
    <w:lvl w:ilvl="6" w:tplc="04090001" w:tentative="1">
      <w:start w:val="1"/>
      <w:numFmt w:val="bullet"/>
      <w:lvlText w:val=""/>
      <w:lvlJc w:val="left"/>
      <w:pPr>
        <w:tabs>
          <w:tab w:val="num" w:pos="3852"/>
        </w:tabs>
        <w:ind w:left="3852" w:hanging="360"/>
      </w:pPr>
      <w:rPr>
        <w:rFonts w:ascii="Symbol" w:hAnsi="Symbol" w:hint="default"/>
      </w:rPr>
    </w:lvl>
    <w:lvl w:ilvl="7" w:tplc="04090003" w:tentative="1">
      <w:start w:val="1"/>
      <w:numFmt w:val="bullet"/>
      <w:lvlText w:val="o"/>
      <w:lvlJc w:val="left"/>
      <w:pPr>
        <w:tabs>
          <w:tab w:val="num" w:pos="4572"/>
        </w:tabs>
        <w:ind w:left="4572" w:hanging="360"/>
      </w:pPr>
      <w:rPr>
        <w:rFonts w:ascii="Courier New" w:hAnsi="Courier New" w:hint="default"/>
      </w:rPr>
    </w:lvl>
    <w:lvl w:ilvl="8" w:tplc="04090005" w:tentative="1">
      <w:start w:val="1"/>
      <w:numFmt w:val="bullet"/>
      <w:lvlText w:val=""/>
      <w:lvlJc w:val="left"/>
      <w:pPr>
        <w:tabs>
          <w:tab w:val="num" w:pos="5292"/>
        </w:tabs>
        <w:ind w:left="5292" w:hanging="360"/>
      </w:pPr>
      <w:rPr>
        <w:rFonts w:ascii="Wingdings" w:hAnsi="Wingdings" w:hint="default"/>
      </w:rPr>
    </w:lvl>
  </w:abstractNum>
  <w:abstractNum w:abstractNumId="6">
    <w:nsid w:val="2AC90A3F"/>
    <w:multiLevelType w:val="hybridMultilevel"/>
    <w:tmpl w:val="A1C0E48C"/>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7">
    <w:nsid w:val="2ED97347"/>
    <w:multiLevelType w:val="hybridMultilevel"/>
    <w:tmpl w:val="7E52B2C6"/>
    <w:lvl w:ilvl="0" w:tplc="9DE6ED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31AB25DA"/>
    <w:multiLevelType w:val="hybridMultilevel"/>
    <w:tmpl w:val="CCBE0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F1428A"/>
    <w:multiLevelType w:val="hybridMultilevel"/>
    <w:tmpl w:val="D7881B76"/>
    <w:lvl w:ilvl="0" w:tplc="9DE6ED0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3CDA44E1"/>
    <w:multiLevelType w:val="singleLevel"/>
    <w:tmpl w:val="724426D8"/>
    <w:lvl w:ilvl="0">
      <w:start w:val="1"/>
      <w:numFmt w:val="lowerLetter"/>
      <w:lvlText w:val="%1)"/>
      <w:lvlJc w:val="left"/>
      <w:pPr>
        <w:tabs>
          <w:tab w:val="num" w:pos="1440"/>
        </w:tabs>
        <w:ind w:left="1440" w:hanging="720"/>
      </w:pPr>
      <w:rPr>
        <w:rFonts w:hint="default"/>
      </w:rPr>
    </w:lvl>
  </w:abstractNum>
  <w:abstractNum w:abstractNumId="11">
    <w:nsid w:val="50B3384F"/>
    <w:multiLevelType w:val="hybridMultilevel"/>
    <w:tmpl w:val="D3863F4A"/>
    <w:lvl w:ilvl="0" w:tplc="9DE6ED0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53F63E56"/>
    <w:multiLevelType w:val="hybridMultilevel"/>
    <w:tmpl w:val="82A0BB7C"/>
    <w:lvl w:ilvl="0" w:tplc="04090015">
      <w:start w:val="1"/>
      <w:numFmt w:val="upperLetter"/>
      <w:lvlText w:val="%1."/>
      <w:lvlJc w:val="left"/>
      <w:pPr>
        <w:ind w:left="1440" w:hanging="360"/>
      </w:pPr>
      <w:rPr>
        <w:rFonts w:hint="default"/>
      </w:r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3283AF7"/>
    <w:multiLevelType w:val="hybridMultilevel"/>
    <w:tmpl w:val="CD6AD5B0"/>
    <w:lvl w:ilvl="0" w:tplc="9DE6ED0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4E6056F"/>
    <w:multiLevelType w:val="multilevel"/>
    <w:tmpl w:val="0870EC90"/>
    <w:lvl w:ilvl="0">
      <w:start w:val="1"/>
      <w:numFmt w:val="upperRoman"/>
      <w:pStyle w:val="Heading1"/>
      <w:suff w:val="nothing"/>
      <w:lvlText w:val="%1.  "/>
      <w:lvlJc w:val="left"/>
      <w:pPr>
        <w:ind w:left="0" w:firstLine="0"/>
      </w:pPr>
      <w:rPr>
        <w:rFonts w:hint="default"/>
      </w:rPr>
    </w:lvl>
    <w:lvl w:ilvl="1">
      <w:start w:val="1"/>
      <w:numFmt w:val="upperLetter"/>
      <w:pStyle w:val="Heading2"/>
      <w:suff w:val="nothing"/>
      <w:lvlText w:val="%2.  "/>
      <w:lvlJc w:val="left"/>
      <w:pPr>
        <w:ind w:left="360" w:firstLine="0"/>
      </w:pPr>
      <w:rPr>
        <w:rFonts w:hint="default"/>
      </w:rPr>
    </w:lvl>
    <w:lvl w:ilvl="2">
      <w:start w:val="1"/>
      <w:numFmt w:val="decimal"/>
      <w:pStyle w:val="Heading3"/>
      <w:suff w:val="nothing"/>
      <w:lvlText w:val="%3.   "/>
      <w:lvlJc w:val="left"/>
      <w:pPr>
        <w:ind w:left="720" w:firstLine="0"/>
      </w:pPr>
      <w:rPr>
        <w:rFonts w:hint="default"/>
      </w:rPr>
    </w:lvl>
    <w:lvl w:ilvl="3">
      <w:start w:val="1"/>
      <w:numFmt w:val="lowerLetter"/>
      <w:pStyle w:val="Heading4"/>
      <w:suff w:val="nothing"/>
      <w:lvlText w:val="%4)  "/>
      <w:lvlJc w:val="left"/>
      <w:pPr>
        <w:ind w:left="1080" w:firstLine="0"/>
      </w:pPr>
      <w:rPr>
        <w:rFonts w:hint="default"/>
      </w:rPr>
    </w:lvl>
    <w:lvl w:ilvl="4">
      <w:start w:val="1"/>
      <w:numFmt w:val="decimal"/>
      <w:pStyle w:val="Heading5"/>
      <w:lvlText w:val="(%5)"/>
      <w:lvlJc w:val="left"/>
      <w:pPr>
        <w:tabs>
          <w:tab w:val="num" w:pos="1800"/>
        </w:tabs>
        <w:ind w:left="1440" w:firstLine="0"/>
      </w:pPr>
      <w:rPr>
        <w:rFonts w:hint="default"/>
      </w:rPr>
    </w:lvl>
    <w:lvl w:ilvl="5">
      <w:start w:val="1"/>
      <w:numFmt w:val="lowerLetter"/>
      <w:pStyle w:val="Heading6"/>
      <w:lvlText w:val="(%6)"/>
      <w:lvlJc w:val="left"/>
      <w:pPr>
        <w:tabs>
          <w:tab w:val="num" w:pos="2160"/>
        </w:tabs>
        <w:ind w:left="18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480"/>
        </w:tabs>
        <w:ind w:left="5760" w:firstLine="0"/>
      </w:pPr>
      <w:rPr>
        <w:rFonts w:hint="default"/>
      </w:rPr>
    </w:lvl>
  </w:abstractNum>
  <w:abstractNum w:abstractNumId="15">
    <w:nsid w:val="65496792"/>
    <w:multiLevelType w:val="hybridMultilevel"/>
    <w:tmpl w:val="1004B9DC"/>
    <w:lvl w:ilvl="0" w:tplc="7158D6B2">
      <w:start w:val="1"/>
      <w:numFmt w:val="lowerLetter"/>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nsid w:val="723226AD"/>
    <w:multiLevelType w:val="hybridMultilevel"/>
    <w:tmpl w:val="F60CB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90B7F0B"/>
    <w:multiLevelType w:val="hybridMultilevel"/>
    <w:tmpl w:val="156E88AE"/>
    <w:lvl w:ilvl="0" w:tplc="9DE6ED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nsid w:val="7C93760E"/>
    <w:multiLevelType w:val="singleLevel"/>
    <w:tmpl w:val="045CB208"/>
    <w:lvl w:ilvl="0">
      <w:start w:val="3"/>
      <w:numFmt w:val="upperLetter"/>
      <w:pStyle w:val="Heading8"/>
      <w:lvlText w:val=""/>
      <w:lvlJc w:val="left"/>
      <w:pPr>
        <w:tabs>
          <w:tab w:val="num" w:pos="1080"/>
        </w:tabs>
        <w:ind w:left="1080" w:hanging="360"/>
      </w:pPr>
      <w:rPr>
        <w:rFonts w:ascii="Times New Roman" w:hAnsi="Times New Roman" w:hint="default"/>
      </w:rPr>
    </w:lvl>
  </w:abstractNum>
  <w:num w:numId="1">
    <w:abstractNumId w:val="18"/>
  </w:num>
  <w:num w:numId="2">
    <w:abstractNumId w:val="10"/>
  </w:num>
  <w:num w:numId="3">
    <w:abstractNumId w:val="2"/>
  </w:num>
  <w:num w:numId="4">
    <w:abstractNumId w:val="1"/>
  </w:num>
  <w:num w:numId="5">
    <w:abstractNumId w:val="5"/>
  </w:num>
  <w:num w:numId="6">
    <w:abstractNumId w:val="15"/>
  </w:num>
  <w:num w:numId="7">
    <w:abstractNumId w:val="14"/>
  </w:num>
  <w:num w:numId="8">
    <w:abstractNumId w:val="0"/>
  </w:num>
  <w:num w:numId="9">
    <w:abstractNumId w:val="9"/>
  </w:num>
  <w:num w:numId="10">
    <w:abstractNumId w:val="17"/>
  </w:num>
  <w:num w:numId="11">
    <w:abstractNumId w:val="4"/>
  </w:num>
  <w:num w:numId="12">
    <w:abstractNumId w:val="3"/>
  </w:num>
  <w:num w:numId="13">
    <w:abstractNumId w:val="7"/>
  </w:num>
  <w:num w:numId="14">
    <w:abstractNumId w:val="13"/>
  </w:num>
  <w:num w:numId="15">
    <w:abstractNumId w:val="1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num>
  <w:num w:numId="19">
    <w:abstractNumId w:val="12"/>
  </w:num>
  <w:num w:numId="20">
    <w:abstractNumId w:val="6"/>
  </w:num>
  <w:num w:numId="21">
    <w:abstractNumId w:val="14"/>
    <w:lvlOverride w:ilvl="0">
      <w:startOverride w:val="7"/>
    </w:lvlOverride>
    <w:lvlOverride w:ilvl="1">
      <w:startOverride w:val="3"/>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63"/>
    <w:rsid w:val="00001705"/>
    <w:rsid w:val="00027F0D"/>
    <w:rsid w:val="000B0C0A"/>
    <w:rsid w:val="000E2093"/>
    <w:rsid w:val="00134D1B"/>
    <w:rsid w:val="00171436"/>
    <w:rsid w:val="0019180C"/>
    <w:rsid w:val="001A0A99"/>
    <w:rsid w:val="001C07BB"/>
    <w:rsid w:val="001D6359"/>
    <w:rsid w:val="00273EE7"/>
    <w:rsid w:val="00290868"/>
    <w:rsid w:val="002D4CB0"/>
    <w:rsid w:val="002F200E"/>
    <w:rsid w:val="003B063E"/>
    <w:rsid w:val="003C592B"/>
    <w:rsid w:val="004342B7"/>
    <w:rsid w:val="00443525"/>
    <w:rsid w:val="004D313C"/>
    <w:rsid w:val="004E3DC2"/>
    <w:rsid w:val="005722FE"/>
    <w:rsid w:val="00595F6E"/>
    <w:rsid w:val="00596063"/>
    <w:rsid w:val="005F5702"/>
    <w:rsid w:val="0060233A"/>
    <w:rsid w:val="00612D30"/>
    <w:rsid w:val="00657452"/>
    <w:rsid w:val="006E00A6"/>
    <w:rsid w:val="00712359"/>
    <w:rsid w:val="00740687"/>
    <w:rsid w:val="00745DAD"/>
    <w:rsid w:val="00771B36"/>
    <w:rsid w:val="00797DD4"/>
    <w:rsid w:val="00846F8C"/>
    <w:rsid w:val="008B63B1"/>
    <w:rsid w:val="008F2A45"/>
    <w:rsid w:val="0092777B"/>
    <w:rsid w:val="00990C80"/>
    <w:rsid w:val="00993F1E"/>
    <w:rsid w:val="009A74F5"/>
    <w:rsid w:val="00A248F2"/>
    <w:rsid w:val="00A31A47"/>
    <w:rsid w:val="00A40937"/>
    <w:rsid w:val="00A44E10"/>
    <w:rsid w:val="00A52998"/>
    <w:rsid w:val="00AB39EE"/>
    <w:rsid w:val="00AF7A80"/>
    <w:rsid w:val="00B031E6"/>
    <w:rsid w:val="00B26D0C"/>
    <w:rsid w:val="00B40CD6"/>
    <w:rsid w:val="00B92373"/>
    <w:rsid w:val="00BE3B4A"/>
    <w:rsid w:val="00C16A2C"/>
    <w:rsid w:val="00C320DE"/>
    <w:rsid w:val="00CC5581"/>
    <w:rsid w:val="00D067B7"/>
    <w:rsid w:val="00D1626A"/>
    <w:rsid w:val="00D645BE"/>
    <w:rsid w:val="00DD1FB6"/>
    <w:rsid w:val="00DD36AD"/>
    <w:rsid w:val="00E1121E"/>
    <w:rsid w:val="00E771E3"/>
    <w:rsid w:val="00EF3943"/>
    <w:rsid w:val="00F6796D"/>
    <w:rsid w:val="00F94150"/>
    <w:rsid w:val="00FD5D8E"/>
    <w:rsid w:val="00FE113B"/>
    <w:rsid w:val="00FF2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numPr>
        <w:numId w:val="7"/>
      </w:numPr>
      <w:suppressAutoHyphens/>
      <w:outlineLvl w:val="0"/>
    </w:pPr>
    <w:rPr>
      <w:b/>
    </w:rPr>
  </w:style>
  <w:style w:type="paragraph" w:styleId="Heading2">
    <w:name w:val="heading 2"/>
    <w:basedOn w:val="Normal"/>
    <w:next w:val="Normal"/>
    <w:qFormat/>
    <w:pPr>
      <w:keepNext/>
      <w:numPr>
        <w:ilvl w:val="1"/>
        <w:numId w:val="7"/>
      </w:numPr>
      <w:tabs>
        <w:tab w:val="right" w:pos="8640"/>
      </w:tabs>
      <w:suppressAutoHyphens/>
      <w:outlineLvl w:val="1"/>
    </w:pPr>
    <w:rPr>
      <w:b/>
    </w:rPr>
  </w:style>
  <w:style w:type="paragraph" w:styleId="Heading3">
    <w:name w:val="heading 3"/>
    <w:basedOn w:val="Normal"/>
    <w:next w:val="Normal"/>
    <w:qFormat/>
    <w:pPr>
      <w:keepNext/>
      <w:numPr>
        <w:ilvl w:val="2"/>
        <w:numId w:val="7"/>
      </w:numPr>
      <w:suppressAutoHyphens/>
      <w:outlineLvl w:val="2"/>
    </w:pPr>
    <w:rPr>
      <w:b/>
    </w:rPr>
  </w:style>
  <w:style w:type="paragraph" w:styleId="Heading4">
    <w:name w:val="heading 4"/>
    <w:basedOn w:val="Normal"/>
    <w:next w:val="Normal"/>
    <w:qFormat/>
    <w:pPr>
      <w:keepNext/>
      <w:numPr>
        <w:ilvl w:val="3"/>
        <w:numId w:val="7"/>
      </w:numPr>
      <w:suppressAutoHyphens/>
      <w:outlineLvl w:val="3"/>
    </w:pPr>
    <w:rPr>
      <w:b/>
    </w:rPr>
  </w:style>
  <w:style w:type="paragraph" w:styleId="Heading5">
    <w:name w:val="heading 5"/>
    <w:basedOn w:val="Normal"/>
    <w:next w:val="Normal"/>
    <w:qFormat/>
    <w:pPr>
      <w:keepNext/>
      <w:numPr>
        <w:ilvl w:val="4"/>
        <w:numId w:val="7"/>
      </w:numPr>
      <w:suppressAutoHyphens/>
      <w:jc w:val="both"/>
      <w:outlineLvl w:val="4"/>
    </w:pPr>
    <w:rPr>
      <w:b/>
      <w:spacing w:val="-3"/>
    </w:rPr>
  </w:style>
  <w:style w:type="paragraph" w:styleId="Heading6">
    <w:name w:val="heading 6"/>
    <w:basedOn w:val="Normal"/>
    <w:next w:val="Normal"/>
    <w:qFormat/>
    <w:pPr>
      <w:keepNext/>
      <w:numPr>
        <w:ilvl w:val="5"/>
        <w:numId w:val="7"/>
      </w:numPr>
      <w:suppressAutoHyphens/>
      <w:jc w:val="both"/>
      <w:outlineLvl w:val="5"/>
    </w:pPr>
    <w:rPr>
      <w:b/>
      <w:spacing w:val="-3"/>
    </w:rPr>
  </w:style>
  <w:style w:type="paragraph" w:styleId="Heading7">
    <w:name w:val="heading 7"/>
    <w:basedOn w:val="Normal"/>
    <w:next w:val="Normal"/>
    <w:qFormat/>
    <w:pPr>
      <w:keepNext/>
      <w:ind w:left="720"/>
      <w:outlineLvl w:val="6"/>
    </w:pPr>
    <w:rPr>
      <w:b/>
    </w:rPr>
  </w:style>
  <w:style w:type="paragraph" w:styleId="Heading8">
    <w:name w:val="heading 8"/>
    <w:basedOn w:val="Normal"/>
    <w:next w:val="Normal"/>
    <w:qFormat/>
    <w:pPr>
      <w:keepNext/>
      <w:numPr>
        <w:numId w:val="1"/>
      </w:numPr>
      <w:tabs>
        <w:tab w:val="clear" w:pos="1080"/>
      </w:tabs>
      <w:suppressAutoHyphens/>
      <w:ind w:firstLine="0"/>
      <w:jc w:val="both"/>
      <w:outlineLvl w:val="7"/>
    </w:pPr>
    <w:rPr>
      <w:b/>
      <w:spacing w:val="-3"/>
    </w:rPr>
  </w:style>
  <w:style w:type="paragraph" w:styleId="Heading9">
    <w:name w:val="heading 9"/>
    <w:basedOn w:val="Normal"/>
    <w:next w:val="Normal"/>
    <w:qFormat/>
    <w:pPr>
      <w:keepNext/>
      <w:suppressAutoHyphens/>
      <w:ind w:left="1440"/>
      <w:jc w:val="both"/>
      <w:outlineLvl w:val="8"/>
    </w:pPr>
    <w:rPr>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rFonts w:ascii="Courier" w:hAnsi="Courier"/>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after="160"/>
    </w:pPr>
    <w:rPr>
      <w:rFonts w:ascii="Times New Roman" w:hAnsi="Times New Roman"/>
      <w:sz w:val="20"/>
    </w:rPr>
  </w:style>
  <w:style w:type="paragraph" w:styleId="BodyTextIndent">
    <w:name w:val="Body Text Indent"/>
    <w:basedOn w:val="Normal"/>
    <w:pPr>
      <w:suppressAutoHyphens/>
      <w:ind w:left="720"/>
      <w:jc w:val="both"/>
    </w:pPr>
    <w:rPr>
      <w:spacing w:val="-3"/>
    </w:rPr>
  </w:style>
  <w:style w:type="paragraph" w:styleId="Title">
    <w:name w:val="Title"/>
    <w:basedOn w:val="Normal"/>
    <w:qFormat/>
    <w:pPr>
      <w:suppressAutoHyphens/>
      <w:jc w:val="center"/>
    </w:pPr>
    <w:rPr>
      <w:b/>
      <w:spacing w:val="-3"/>
      <w:sz w:val="32"/>
    </w:rPr>
  </w:style>
  <w:style w:type="paragraph" w:styleId="BodyTextIndent2">
    <w:name w:val="Body Text Indent 2"/>
    <w:basedOn w:val="Normal"/>
    <w:pPr>
      <w:ind w:left="1440"/>
    </w:pPr>
    <w:rPr>
      <w:snapToGrid w:val="0"/>
    </w:rPr>
  </w:style>
  <w:style w:type="paragraph" w:styleId="BodyTextIndent3">
    <w:name w:val="Body Text Indent 3"/>
    <w:basedOn w:val="Normal"/>
    <w:pPr>
      <w:suppressAutoHyphens/>
      <w:ind w:left="1440"/>
      <w:jc w:val="both"/>
    </w:pPr>
    <w:rPr>
      <w:spacing w:val="-3"/>
    </w:rPr>
  </w:style>
  <w:style w:type="paragraph" w:styleId="BodyText2">
    <w:name w:val="Body Text 2"/>
    <w:basedOn w:val="Normal"/>
    <w:pPr>
      <w:suppressAutoHyphens/>
      <w:spacing w:before="90"/>
      <w:jc w:val="center"/>
    </w:pPr>
    <w:rPr>
      <w:spacing w:val="-3"/>
    </w:rPr>
  </w:style>
  <w:style w:type="paragraph" w:styleId="BodyText3">
    <w:name w:val="Body Text 3"/>
    <w:basedOn w:val="Normal"/>
    <w:pPr>
      <w:suppressAutoHyphens/>
      <w:jc w:val="both"/>
    </w:pPr>
    <w:rPr>
      <w:spacing w:val="-3"/>
    </w:rPr>
  </w:style>
  <w:style w:type="paragraph" w:styleId="Caption">
    <w:name w:val="caption"/>
    <w:basedOn w:val="Normal"/>
    <w:next w:val="Normal"/>
    <w:qFormat/>
    <w:pPr>
      <w:suppressAutoHyphens/>
      <w:ind w:left="1440"/>
      <w:jc w:val="both"/>
    </w:pPr>
    <w:rPr>
      <w:b/>
      <w:szCs w:val="24"/>
    </w:rPr>
  </w:style>
  <w:style w:type="paragraph" w:styleId="EndnoteText">
    <w:name w:val="endnote text"/>
    <w:basedOn w:val="Normal"/>
    <w:semiHidden/>
    <w:rPr>
      <w:spacing w:val="-3"/>
    </w:rPr>
  </w:style>
  <w:style w:type="character" w:customStyle="1" w:styleId="emailstyle15">
    <w:name w:val="emailstyle15"/>
    <w:rPr>
      <w:rFonts w:ascii="Arial" w:hAnsi="Arial" w:cs="Arial"/>
      <w:color w:val="000000"/>
      <w:sz w:val="2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Text1">
    <w:name w:val="Text 1"/>
    <w:basedOn w:val="Heading1"/>
    <w:pPr>
      <w:keepNext w:val="0"/>
      <w:widowControl w:val="0"/>
      <w:suppressAutoHyphens w:val="0"/>
      <w:spacing w:before="120" w:after="120"/>
      <w:ind w:left="432"/>
      <w:jc w:val="both"/>
      <w:outlineLvl w:val="9"/>
    </w:pPr>
    <w:rPr>
      <w:rFonts w:cs="Arial"/>
      <w:bCs/>
      <w:snapToGrid w:val="0"/>
      <w:kern w:val="32"/>
      <w:sz w:val="22"/>
      <w:szCs w:val="32"/>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71B3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745DAD"/>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numPr>
        <w:numId w:val="7"/>
      </w:numPr>
      <w:suppressAutoHyphens/>
      <w:outlineLvl w:val="0"/>
    </w:pPr>
    <w:rPr>
      <w:b/>
    </w:rPr>
  </w:style>
  <w:style w:type="paragraph" w:styleId="Heading2">
    <w:name w:val="heading 2"/>
    <w:basedOn w:val="Normal"/>
    <w:next w:val="Normal"/>
    <w:qFormat/>
    <w:pPr>
      <w:keepNext/>
      <w:numPr>
        <w:ilvl w:val="1"/>
        <w:numId w:val="7"/>
      </w:numPr>
      <w:tabs>
        <w:tab w:val="right" w:pos="8640"/>
      </w:tabs>
      <w:suppressAutoHyphens/>
      <w:outlineLvl w:val="1"/>
    </w:pPr>
    <w:rPr>
      <w:b/>
    </w:rPr>
  </w:style>
  <w:style w:type="paragraph" w:styleId="Heading3">
    <w:name w:val="heading 3"/>
    <w:basedOn w:val="Normal"/>
    <w:next w:val="Normal"/>
    <w:qFormat/>
    <w:pPr>
      <w:keepNext/>
      <w:numPr>
        <w:ilvl w:val="2"/>
        <w:numId w:val="7"/>
      </w:numPr>
      <w:suppressAutoHyphens/>
      <w:outlineLvl w:val="2"/>
    </w:pPr>
    <w:rPr>
      <w:b/>
    </w:rPr>
  </w:style>
  <w:style w:type="paragraph" w:styleId="Heading4">
    <w:name w:val="heading 4"/>
    <w:basedOn w:val="Normal"/>
    <w:next w:val="Normal"/>
    <w:qFormat/>
    <w:pPr>
      <w:keepNext/>
      <w:numPr>
        <w:ilvl w:val="3"/>
        <w:numId w:val="7"/>
      </w:numPr>
      <w:suppressAutoHyphens/>
      <w:outlineLvl w:val="3"/>
    </w:pPr>
    <w:rPr>
      <w:b/>
    </w:rPr>
  </w:style>
  <w:style w:type="paragraph" w:styleId="Heading5">
    <w:name w:val="heading 5"/>
    <w:basedOn w:val="Normal"/>
    <w:next w:val="Normal"/>
    <w:qFormat/>
    <w:pPr>
      <w:keepNext/>
      <w:numPr>
        <w:ilvl w:val="4"/>
        <w:numId w:val="7"/>
      </w:numPr>
      <w:suppressAutoHyphens/>
      <w:jc w:val="both"/>
      <w:outlineLvl w:val="4"/>
    </w:pPr>
    <w:rPr>
      <w:b/>
      <w:spacing w:val="-3"/>
    </w:rPr>
  </w:style>
  <w:style w:type="paragraph" w:styleId="Heading6">
    <w:name w:val="heading 6"/>
    <w:basedOn w:val="Normal"/>
    <w:next w:val="Normal"/>
    <w:qFormat/>
    <w:pPr>
      <w:keepNext/>
      <w:numPr>
        <w:ilvl w:val="5"/>
        <w:numId w:val="7"/>
      </w:numPr>
      <w:suppressAutoHyphens/>
      <w:jc w:val="both"/>
      <w:outlineLvl w:val="5"/>
    </w:pPr>
    <w:rPr>
      <w:b/>
      <w:spacing w:val="-3"/>
    </w:rPr>
  </w:style>
  <w:style w:type="paragraph" w:styleId="Heading7">
    <w:name w:val="heading 7"/>
    <w:basedOn w:val="Normal"/>
    <w:next w:val="Normal"/>
    <w:qFormat/>
    <w:pPr>
      <w:keepNext/>
      <w:ind w:left="720"/>
      <w:outlineLvl w:val="6"/>
    </w:pPr>
    <w:rPr>
      <w:b/>
    </w:rPr>
  </w:style>
  <w:style w:type="paragraph" w:styleId="Heading8">
    <w:name w:val="heading 8"/>
    <w:basedOn w:val="Normal"/>
    <w:next w:val="Normal"/>
    <w:qFormat/>
    <w:pPr>
      <w:keepNext/>
      <w:numPr>
        <w:numId w:val="1"/>
      </w:numPr>
      <w:tabs>
        <w:tab w:val="clear" w:pos="1080"/>
      </w:tabs>
      <w:suppressAutoHyphens/>
      <w:ind w:firstLine="0"/>
      <w:jc w:val="both"/>
      <w:outlineLvl w:val="7"/>
    </w:pPr>
    <w:rPr>
      <w:b/>
      <w:spacing w:val="-3"/>
    </w:rPr>
  </w:style>
  <w:style w:type="paragraph" w:styleId="Heading9">
    <w:name w:val="heading 9"/>
    <w:basedOn w:val="Normal"/>
    <w:next w:val="Normal"/>
    <w:qFormat/>
    <w:pPr>
      <w:keepNext/>
      <w:suppressAutoHyphens/>
      <w:ind w:left="1440"/>
      <w:jc w:val="both"/>
      <w:outlineLvl w:val="8"/>
    </w:pPr>
    <w:rPr>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rFonts w:ascii="Courier" w:hAnsi="Courier"/>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after="160"/>
    </w:pPr>
    <w:rPr>
      <w:rFonts w:ascii="Times New Roman" w:hAnsi="Times New Roman"/>
      <w:sz w:val="20"/>
    </w:rPr>
  </w:style>
  <w:style w:type="paragraph" w:styleId="BodyTextIndent">
    <w:name w:val="Body Text Indent"/>
    <w:basedOn w:val="Normal"/>
    <w:pPr>
      <w:suppressAutoHyphens/>
      <w:ind w:left="720"/>
      <w:jc w:val="both"/>
    </w:pPr>
    <w:rPr>
      <w:spacing w:val="-3"/>
    </w:rPr>
  </w:style>
  <w:style w:type="paragraph" w:styleId="Title">
    <w:name w:val="Title"/>
    <w:basedOn w:val="Normal"/>
    <w:qFormat/>
    <w:pPr>
      <w:suppressAutoHyphens/>
      <w:jc w:val="center"/>
    </w:pPr>
    <w:rPr>
      <w:b/>
      <w:spacing w:val="-3"/>
      <w:sz w:val="32"/>
    </w:rPr>
  </w:style>
  <w:style w:type="paragraph" w:styleId="BodyTextIndent2">
    <w:name w:val="Body Text Indent 2"/>
    <w:basedOn w:val="Normal"/>
    <w:pPr>
      <w:ind w:left="1440"/>
    </w:pPr>
    <w:rPr>
      <w:snapToGrid w:val="0"/>
    </w:rPr>
  </w:style>
  <w:style w:type="paragraph" w:styleId="BodyTextIndent3">
    <w:name w:val="Body Text Indent 3"/>
    <w:basedOn w:val="Normal"/>
    <w:pPr>
      <w:suppressAutoHyphens/>
      <w:ind w:left="1440"/>
      <w:jc w:val="both"/>
    </w:pPr>
    <w:rPr>
      <w:spacing w:val="-3"/>
    </w:rPr>
  </w:style>
  <w:style w:type="paragraph" w:styleId="BodyText2">
    <w:name w:val="Body Text 2"/>
    <w:basedOn w:val="Normal"/>
    <w:pPr>
      <w:suppressAutoHyphens/>
      <w:spacing w:before="90"/>
      <w:jc w:val="center"/>
    </w:pPr>
    <w:rPr>
      <w:spacing w:val="-3"/>
    </w:rPr>
  </w:style>
  <w:style w:type="paragraph" w:styleId="BodyText3">
    <w:name w:val="Body Text 3"/>
    <w:basedOn w:val="Normal"/>
    <w:pPr>
      <w:suppressAutoHyphens/>
      <w:jc w:val="both"/>
    </w:pPr>
    <w:rPr>
      <w:spacing w:val="-3"/>
    </w:rPr>
  </w:style>
  <w:style w:type="paragraph" w:styleId="Caption">
    <w:name w:val="caption"/>
    <w:basedOn w:val="Normal"/>
    <w:next w:val="Normal"/>
    <w:qFormat/>
    <w:pPr>
      <w:suppressAutoHyphens/>
      <w:ind w:left="1440"/>
      <w:jc w:val="both"/>
    </w:pPr>
    <w:rPr>
      <w:b/>
      <w:szCs w:val="24"/>
    </w:rPr>
  </w:style>
  <w:style w:type="paragraph" w:styleId="EndnoteText">
    <w:name w:val="endnote text"/>
    <w:basedOn w:val="Normal"/>
    <w:semiHidden/>
    <w:rPr>
      <w:spacing w:val="-3"/>
    </w:rPr>
  </w:style>
  <w:style w:type="character" w:customStyle="1" w:styleId="emailstyle15">
    <w:name w:val="emailstyle15"/>
    <w:rPr>
      <w:rFonts w:ascii="Arial" w:hAnsi="Arial" w:cs="Arial"/>
      <w:color w:val="000000"/>
      <w:sz w:val="2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Text1">
    <w:name w:val="Text 1"/>
    <w:basedOn w:val="Heading1"/>
    <w:pPr>
      <w:keepNext w:val="0"/>
      <w:widowControl w:val="0"/>
      <w:suppressAutoHyphens w:val="0"/>
      <w:spacing w:before="120" w:after="120"/>
      <w:ind w:left="432"/>
      <w:jc w:val="both"/>
      <w:outlineLvl w:val="9"/>
    </w:pPr>
    <w:rPr>
      <w:rFonts w:cs="Arial"/>
      <w:bCs/>
      <w:snapToGrid w:val="0"/>
      <w:kern w:val="32"/>
      <w:sz w:val="22"/>
      <w:szCs w:val="32"/>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71B3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745DA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59086">
      <w:bodyDiv w:val="1"/>
      <w:marLeft w:val="0"/>
      <w:marRight w:val="0"/>
      <w:marTop w:val="0"/>
      <w:marBottom w:val="0"/>
      <w:divBdr>
        <w:top w:val="none" w:sz="0" w:space="0" w:color="auto"/>
        <w:left w:val="none" w:sz="0" w:space="0" w:color="auto"/>
        <w:bottom w:val="none" w:sz="0" w:space="0" w:color="auto"/>
        <w:right w:val="none" w:sz="0" w:space="0" w:color="auto"/>
      </w:divBdr>
    </w:div>
    <w:div w:id="9679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file:///\\SOUTH1\..\Intranet_files\thaoc\shared\Intranet_files\PER\policies\dustyrose\Intranet_files\PER\policies\dustyrose\Intranet_Files\PER\policies\fyi\documents\71%20-%20School%20Notice.doc"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EB9B0-7804-41C1-9BAE-54C55804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11156</Words>
  <Characters>63591</Characters>
  <Application>Microsoft Office Word</Application>
  <DocSecurity>4</DocSecurity>
  <Lines>529</Lines>
  <Paragraphs>149</Paragraphs>
  <ScaleCrop>false</ScaleCrop>
  <HeadingPairs>
    <vt:vector size="2" baseType="variant">
      <vt:variant>
        <vt:lpstr>Title</vt:lpstr>
      </vt:variant>
      <vt:variant>
        <vt:i4>1</vt:i4>
      </vt:variant>
    </vt:vector>
  </HeadingPairs>
  <TitlesOfParts>
    <vt:vector size="1" baseType="lpstr">
      <vt:lpstr>Authority to Construct</vt:lpstr>
    </vt:vector>
  </TitlesOfParts>
  <Company>SJVUAPCD</Company>
  <LinksUpToDate>false</LinksUpToDate>
  <CharactersWithSpaces>74598</CharactersWithSpaces>
  <SharedDoc>false</SharedDoc>
  <HLinks>
    <vt:vector size="6" baseType="variant">
      <vt:variant>
        <vt:i4>6815800</vt:i4>
      </vt:variant>
      <vt:variant>
        <vt:i4>36</vt:i4>
      </vt:variant>
      <vt:variant>
        <vt:i4>0</vt:i4>
      </vt:variant>
      <vt:variant>
        <vt:i4>5</vt:i4>
      </vt:variant>
      <vt:variant>
        <vt:lpwstr>../../../../../../Intranet_files/thaoc/shared/Intranet_files/PER/policies/dustyrose/Intranet_files/PER/policies/dustyrose/Intranet_Files/PER/policies/fyi/documents/71 - School Notice.doc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to Construct</dc:title>
  <dc:creator>Chay Thao</dc:creator>
  <dc:description>updated Mar 2014</dc:description>
  <cp:lastModifiedBy>Anton Simanov</cp:lastModifiedBy>
  <cp:revision>2</cp:revision>
  <cp:lastPrinted>2008-04-24T18:43:00Z</cp:lastPrinted>
  <dcterms:created xsi:type="dcterms:W3CDTF">2014-03-11T18:33:00Z</dcterms:created>
  <dcterms:modified xsi:type="dcterms:W3CDTF">2014-03-11T18:33:00Z</dcterms:modified>
</cp:coreProperties>
</file>