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9F" w:rsidRDefault="0026009F" w:rsidP="0026009F">
      <w:pPr>
        <w:suppressAutoHyphens/>
        <w:jc w:val="center"/>
        <w:rPr>
          <w:spacing w:val="-3"/>
          <w:sz w:val="36"/>
        </w:rPr>
      </w:pPr>
      <w:bookmarkStart w:id="0" w:name="_GoBack"/>
      <w:bookmarkEnd w:id="0"/>
      <w:r w:rsidRPr="00995539">
        <w:rPr>
          <w:sz w:val="36"/>
          <w14:shadow w14:blurRad="50800" w14:dist="38100" w14:dir="2700000" w14:sx="100000" w14:sy="100000" w14:kx="0" w14:ky="0" w14:algn="tl">
            <w14:srgbClr w14:val="000000">
              <w14:alpha w14:val="60000"/>
            </w14:srgbClr>
          </w14:shadow>
        </w:rPr>
        <w:t>San Joaquin Valley Air Pollution Control District</w:t>
      </w:r>
    </w:p>
    <w:p w:rsidR="0026009F" w:rsidRDefault="0026009F" w:rsidP="0026009F">
      <w:pPr>
        <w:jc w:val="center"/>
        <w:rPr>
          <w:sz w:val="32"/>
        </w:rPr>
      </w:pPr>
      <w:r>
        <w:rPr>
          <w:sz w:val="32"/>
        </w:rPr>
        <w:t>Authority to Construct</w:t>
      </w:r>
    </w:p>
    <w:p w:rsidR="0026009F" w:rsidRDefault="0026009F" w:rsidP="0026009F">
      <w:pPr>
        <w:jc w:val="center"/>
        <w:rPr>
          <w:sz w:val="36"/>
        </w:rPr>
      </w:pPr>
      <w:r>
        <w:rPr>
          <w:sz w:val="32"/>
        </w:rPr>
        <w:t>Application Review</w:t>
      </w:r>
    </w:p>
    <w:p w:rsidR="00FD6FB5" w:rsidRDefault="00FD6FB5">
      <w:pPr>
        <w:pStyle w:val="Heading2"/>
        <w:jc w:val="center"/>
        <w:rPr>
          <w:b w:val="0"/>
          <w:bCs/>
        </w:rPr>
      </w:pPr>
      <w:r>
        <w:rPr>
          <w:b w:val="0"/>
          <w:bCs/>
          <w:color w:val="000000"/>
        </w:rPr>
        <w:t>Soil Remediation Project Utilizing an Internal Combustion Engine</w:t>
      </w:r>
    </w:p>
    <w:p w:rsidR="00FD6FB5" w:rsidRDefault="00FD6FB5">
      <w:pPr>
        <w:suppressAutoHyphens/>
        <w:jc w:val="center"/>
        <w:rPr>
          <w:spacing w:val="-3"/>
        </w:rPr>
      </w:pPr>
    </w:p>
    <w:p w:rsidR="00FD6FB5" w:rsidRDefault="00FD6FB5">
      <w:pPr>
        <w:suppressAutoHyphens/>
        <w:jc w:val="center"/>
        <w:rPr>
          <w:spacing w:val="-3"/>
        </w:rPr>
      </w:pPr>
    </w:p>
    <w:tbl>
      <w:tblPr>
        <w:tblW w:w="11070" w:type="dxa"/>
        <w:tblInd w:w="-612" w:type="dxa"/>
        <w:tblLayout w:type="fixed"/>
        <w:tblLook w:val="0000" w:firstRow="0" w:lastRow="0" w:firstColumn="0" w:lastColumn="0" w:noHBand="0" w:noVBand="0"/>
      </w:tblPr>
      <w:tblGrid>
        <w:gridCol w:w="2610"/>
        <w:gridCol w:w="3960"/>
        <w:gridCol w:w="1170"/>
        <w:gridCol w:w="810"/>
        <w:gridCol w:w="2520"/>
      </w:tblGrid>
      <w:tr w:rsidR="00FD6FB5">
        <w:trPr>
          <w:cantSplit/>
          <w:trHeight w:hRule="exact" w:val="360"/>
        </w:trPr>
        <w:tc>
          <w:tcPr>
            <w:tcW w:w="2610" w:type="dxa"/>
          </w:tcPr>
          <w:p w:rsidR="00FD6FB5" w:rsidRDefault="00FD6FB5">
            <w:pPr>
              <w:jc w:val="right"/>
              <w:rPr>
                <w:color w:val="000000"/>
              </w:rPr>
            </w:pPr>
            <w:r>
              <w:rPr>
                <w:color w:val="000000"/>
              </w:rPr>
              <w:t>Facility Name:</w:t>
            </w:r>
          </w:p>
        </w:tc>
        <w:tc>
          <w:tcPr>
            <w:tcW w:w="5130" w:type="dxa"/>
            <w:gridSpan w:val="2"/>
          </w:tcPr>
          <w:p w:rsidR="00FD6FB5" w:rsidRDefault="00FD6FB5">
            <w:pPr>
              <w:rPr>
                <w:color w:val="0000FF"/>
              </w:rPr>
            </w:pPr>
            <w:r>
              <w:rPr>
                <w:color w:val="0000FF"/>
              </w:rPr>
              <w:t>Facility Name</w:t>
            </w:r>
          </w:p>
        </w:tc>
        <w:tc>
          <w:tcPr>
            <w:tcW w:w="810" w:type="dxa"/>
          </w:tcPr>
          <w:p w:rsidR="00FD6FB5" w:rsidRDefault="00FD6FB5">
            <w:pPr>
              <w:jc w:val="right"/>
              <w:rPr>
                <w:color w:val="000000"/>
              </w:rPr>
            </w:pPr>
            <w:r>
              <w:rPr>
                <w:color w:val="000000"/>
              </w:rPr>
              <w:t>Date:</w:t>
            </w:r>
          </w:p>
        </w:tc>
        <w:tc>
          <w:tcPr>
            <w:tcW w:w="2520" w:type="dxa"/>
          </w:tcPr>
          <w:p w:rsidR="00FD6FB5" w:rsidRDefault="00FD6FB5">
            <w:pPr>
              <w:rPr>
                <w:color w:val="0000FF"/>
              </w:rPr>
            </w:pPr>
            <w:r>
              <w:rPr>
                <w:color w:val="0000FF"/>
              </w:rPr>
              <w:t>Date</w:t>
            </w:r>
          </w:p>
        </w:tc>
      </w:tr>
      <w:tr w:rsidR="00FD6FB5">
        <w:trPr>
          <w:cantSplit/>
          <w:trHeight w:hRule="exact" w:val="360"/>
        </w:trPr>
        <w:tc>
          <w:tcPr>
            <w:tcW w:w="2610" w:type="dxa"/>
            <w:vMerge w:val="restart"/>
          </w:tcPr>
          <w:p w:rsidR="00FD6FB5" w:rsidRDefault="00FD6FB5">
            <w:pPr>
              <w:jc w:val="right"/>
              <w:rPr>
                <w:color w:val="000000"/>
              </w:rPr>
            </w:pPr>
            <w:r>
              <w:rPr>
                <w:color w:val="000000"/>
              </w:rPr>
              <w:t>Mailing Address:</w:t>
            </w:r>
          </w:p>
        </w:tc>
        <w:tc>
          <w:tcPr>
            <w:tcW w:w="3960" w:type="dxa"/>
            <w:vMerge w:val="restart"/>
          </w:tcPr>
          <w:p w:rsidR="00FD6FB5" w:rsidRDefault="00FD6FB5">
            <w:pPr>
              <w:rPr>
                <w:color w:val="0000FF"/>
              </w:rPr>
            </w:pPr>
            <w:r>
              <w:rPr>
                <w:color w:val="0000FF"/>
              </w:rPr>
              <w:t>Mailing Address</w:t>
            </w:r>
          </w:p>
          <w:p w:rsidR="00FD6FB5" w:rsidRDefault="00FD6FB5">
            <w:pPr>
              <w:rPr>
                <w:color w:val="0000FF"/>
              </w:rPr>
            </w:pPr>
            <w:r>
              <w:rPr>
                <w:color w:val="0000FF"/>
              </w:rPr>
              <w:t>City, State Zip</w:t>
            </w:r>
          </w:p>
        </w:tc>
        <w:tc>
          <w:tcPr>
            <w:tcW w:w="1980" w:type="dxa"/>
            <w:gridSpan w:val="2"/>
          </w:tcPr>
          <w:p w:rsidR="00FD6FB5" w:rsidRDefault="00FD6FB5">
            <w:pPr>
              <w:jc w:val="right"/>
            </w:pPr>
            <w:r>
              <w:t>Engineer:</w:t>
            </w:r>
          </w:p>
        </w:tc>
        <w:tc>
          <w:tcPr>
            <w:tcW w:w="2520" w:type="dxa"/>
          </w:tcPr>
          <w:p w:rsidR="00FD6FB5" w:rsidRDefault="00FD6FB5">
            <w:pPr>
              <w:rPr>
                <w:color w:val="0000FF"/>
              </w:rPr>
            </w:pPr>
            <w:r>
              <w:rPr>
                <w:color w:val="0000FF"/>
              </w:rPr>
              <w:t>Name</w:t>
            </w:r>
          </w:p>
        </w:tc>
      </w:tr>
      <w:tr w:rsidR="00FD6FB5">
        <w:trPr>
          <w:cantSplit/>
          <w:trHeight w:hRule="exact" w:val="360"/>
        </w:trPr>
        <w:tc>
          <w:tcPr>
            <w:tcW w:w="2610" w:type="dxa"/>
            <w:vMerge/>
          </w:tcPr>
          <w:p w:rsidR="00FD6FB5" w:rsidRDefault="00FD6FB5">
            <w:pPr>
              <w:jc w:val="right"/>
              <w:rPr>
                <w:color w:val="000000"/>
              </w:rPr>
            </w:pPr>
          </w:p>
        </w:tc>
        <w:tc>
          <w:tcPr>
            <w:tcW w:w="3960" w:type="dxa"/>
            <w:vMerge/>
          </w:tcPr>
          <w:p w:rsidR="00FD6FB5" w:rsidRDefault="00FD6FB5">
            <w:pPr>
              <w:rPr>
                <w:color w:val="0000FF"/>
              </w:rPr>
            </w:pPr>
          </w:p>
        </w:tc>
        <w:tc>
          <w:tcPr>
            <w:tcW w:w="1980" w:type="dxa"/>
            <w:gridSpan w:val="2"/>
          </w:tcPr>
          <w:p w:rsidR="00FD6FB5" w:rsidRDefault="00FD6FB5">
            <w:pPr>
              <w:jc w:val="right"/>
            </w:pPr>
            <w:r>
              <w:t>Lead Engineer:</w:t>
            </w:r>
          </w:p>
        </w:tc>
        <w:tc>
          <w:tcPr>
            <w:tcW w:w="2520" w:type="dxa"/>
          </w:tcPr>
          <w:p w:rsidR="00FD6FB5" w:rsidRDefault="00FD6FB5">
            <w:pPr>
              <w:rPr>
                <w:color w:val="0000FF"/>
              </w:rPr>
            </w:pPr>
            <w:r>
              <w:rPr>
                <w:color w:val="0000FF"/>
              </w:rPr>
              <w:t>Name</w:t>
            </w:r>
          </w:p>
        </w:tc>
      </w:tr>
      <w:tr w:rsidR="00FD6FB5">
        <w:trPr>
          <w:cantSplit/>
          <w:trHeight w:hRule="exact" w:val="360"/>
        </w:trPr>
        <w:tc>
          <w:tcPr>
            <w:tcW w:w="2610" w:type="dxa"/>
          </w:tcPr>
          <w:p w:rsidR="00FD6FB5" w:rsidRDefault="00FD6FB5">
            <w:pPr>
              <w:jc w:val="right"/>
              <w:rPr>
                <w:color w:val="000000"/>
              </w:rPr>
            </w:pPr>
            <w:r>
              <w:rPr>
                <w:color w:val="000000"/>
              </w:rPr>
              <w:t>Contact Person:</w:t>
            </w:r>
          </w:p>
        </w:tc>
        <w:tc>
          <w:tcPr>
            <w:tcW w:w="8460" w:type="dxa"/>
            <w:gridSpan w:val="4"/>
          </w:tcPr>
          <w:p w:rsidR="00FD6FB5" w:rsidRDefault="00FD6FB5">
            <w:pPr>
              <w:rPr>
                <w:color w:val="0000FF"/>
              </w:rPr>
            </w:pPr>
            <w:r>
              <w:rPr>
                <w:color w:val="0000FF"/>
              </w:rPr>
              <w:t>Contact</w:t>
            </w:r>
          </w:p>
        </w:tc>
      </w:tr>
      <w:tr w:rsidR="00FD6FB5">
        <w:trPr>
          <w:cantSplit/>
          <w:trHeight w:hRule="exact" w:val="360"/>
        </w:trPr>
        <w:tc>
          <w:tcPr>
            <w:tcW w:w="2610" w:type="dxa"/>
          </w:tcPr>
          <w:p w:rsidR="00FD6FB5" w:rsidRDefault="00FD6FB5">
            <w:pPr>
              <w:jc w:val="right"/>
              <w:rPr>
                <w:color w:val="000000"/>
              </w:rPr>
            </w:pPr>
            <w:r>
              <w:rPr>
                <w:color w:val="000000"/>
              </w:rPr>
              <w:t xml:space="preserve">Telephone: </w:t>
            </w:r>
          </w:p>
        </w:tc>
        <w:tc>
          <w:tcPr>
            <w:tcW w:w="8460" w:type="dxa"/>
            <w:gridSpan w:val="4"/>
          </w:tcPr>
          <w:p w:rsidR="00FD6FB5" w:rsidRDefault="00FD6FB5">
            <w:pPr>
              <w:rPr>
                <w:color w:val="0000FF"/>
              </w:rPr>
            </w:pPr>
            <w:r>
              <w:rPr>
                <w:color w:val="0000FF"/>
              </w:rPr>
              <w:t>Telephone</w:t>
            </w:r>
          </w:p>
        </w:tc>
      </w:tr>
      <w:tr w:rsidR="00FD6FB5">
        <w:trPr>
          <w:cantSplit/>
          <w:trHeight w:hRule="exact" w:val="360"/>
        </w:trPr>
        <w:tc>
          <w:tcPr>
            <w:tcW w:w="2610" w:type="dxa"/>
          </w:tcPr>
          <w:p w:rsidR="00FD6FB5" w:rsidRDefault="00FD6FB5">
            <w:pPr>
              <w:jc w:val="right"/>
            </w:pPr>
            <w:r>
              <w:t>Application #(s):</w:t>
            </w:r>
          </w:p>
        </w:tc>
        <w:tc>
          <w:tcPr>
            <w:tcW w:w="8460" w:type="dxa"/>
            <w:gridSpan w:val="4"/>
          </w:tcPr>
          <w:p w:rsidR="00FD6FB5" w:rsidRDefault="00FD6FB5">
            <w:pPr>
              <w:rPr>
                <w:color w:val="0000FF"/>
              </w:rPr>
            </w:pPr>
            <w:r>
              <w:rPr>
                <w:color w:val="0000FF"/>
              </w:rPr>
              <w:t>ATC Number</w:t>
            </w:r>
          </w:p>
        </w:tc>
      </w:tr>
      <w:tr w:rsidR="00FD6FB5">
        <w:trPr>
          <w:cantSplit/>
          <w:trHeight w:hRule="exact" w:val="360"/>
        </w:trPr>
        <w:tc>
          <w:tcPr>
            <w:tcW w:w="2610" w:type="dxa"/>
          </w:tcPr>
          <w:p w:rsidR="00FD6FB5" w:rsidRDefault="00FD6FB5">
            <w:pPr>
              <w:jc w:val="right"/>
              <w:rPr>
                <w:color w:val="000000"/>
              </w:rPr>
            </w:pPr>
            <w:r>
              <w:rPr>
                <w:color w:val="000000"/>
              </w:rPr>
              <w:t>Project #:</w:t>
            </w:r>
          </w:p>
        </w:tc>
        <w:tc>
          <w:tcPr>
            <w:tcW w:w="8460" w:type="dxa"/>
            <w:gridSpan w:val="4"/>
          </w:tcPr>
          <w:p w:rsidR="00FD6FB5" w:rsidRDefault="00FD6FB5">
            <w:pPr>
              <w:rPr>
                <w:color w:val="0000FF"/>
              </w:rPr>
            </w:pPr>
            <w:r>
              <w:rPr>
                <w:color w:val="0000FF"/>
              </w:rPr>
              <w:t>Project Number</w:t>
            </w:r>
          </w:p>
        </w:tc>
      </w:tr>
      <w:tr w:rsidR="00FD6FB5">
        <w:trPr>
          <w:cantSplit/>
          <w:trHeight w:hRule="exact" w:val="414"/>
        </w:trPr>
        <w:tc>
          <w:tcPr>
            <w:tcW w:w="2610" w:type="dxa"/>
          </w:tcPr>
          <w:p w:rsidR="00FD6FB5" w:rsidRDefault="00FD6FB5">
            <w:pPr>
              <w:jc w:val="right"/>
              <w:rPr>
                <w:noProof/>
                <w:color w:val="000000"/>
              </w:rPr>
            </w:pPr>
            <w:r>
              <w:rPr>
                <w:noProof/>
                <w:color w:val="000000"/>
              </w:rPr>
              <w:t>Deemed Complete:</w:t>
            </w:r>
          </w:p>
        </w:tc>
        <w:tc>
          <w:tcPr>
            <w:tcW w:w="8460" w:type="dxa"/>
            <w:gridSpan w:val="4"/>
          </w:tcPr>
          <w:p w:rsidR="00FD6FB5" w:rsidRDefault="00FD6FB5">
            <w:pPr>
              <w:rPr>
                <w:color w:val="0000FF"/>
              </w:rPr>
            </w:pPr>
            <w:r>
              <w:rPr>
                <w:color w:val="0000FF"/>
              </w:rPr>
              <w:t>Date</w:t>
            </w:r>
          </w:p>
        </w:tc>
      </w:tr>
    </w:tbl>
    <w:p w:rsidR="00FD6FB5" w:rsidRDefault="00995539">
      <w:pPr>
        <w:tabs>
          <w:tab w:val="left" w:pos="-720"/>
        </w:tabs>
        <w:suppressAutoHyphens/>
        <w:jc w:val="both"/>
        <w:rPr>
          <w:b/>
          <w:spacing w:val="-3"/>
        </w:rPr>
      </w:pPr>
      <w:r>
        <w:rPr>
          <w:b/>
          <w:noProof/>
          <w:spacing w:val="-3"/>
          <w:sz w:val="20"/>
        </w:rPr>
        <mc:AlternateContent>
          <mc:Choice Requires="wps">
            <w:drawing>
              <wp:anchor distT="0" distB="0" distL="114300" distR="114300" simplePos="0" relativeHeight="251657216" behindDoc="0" locked="0" layoutInCell="1" allowOverlap="1" wp14:anchorId="5ADA02CE" wp14:editId="78AA778B">
                <wp:simplePos x="0" y="0"/>
                <wp:positionH relativeFrom="column">
                  <wp:posOffset>-405765</wp:posOffset>
                </wp:positionH>
                <wp:positionV relativeFrom="paragraph">
                  <wp:posOffset>93980</wp:posOffset>
                </wp:positionV>
                <wp:extent cx="68580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0">
                          <a:solidFill>
                            <a:srgbClr val="FF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7.4pt" to="508.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" strokecolor="red" strokeweight="4pt">
                <v:stroke startarrowwidth="narrow" startarrowlength="short" endarrowwidth="narrow" endarrowlength="short"/>
              </v:line>
            </w:pict>
          </mc:Fallback>
        </mc:AlternateContent>
      </w:r>
    </w:p>
    <w:p w:rsidR="00FD6FB5" w:rsidRDefault="00FD6FB5">
      <w:pPr>
        <w:pStyle w:val="Heading4"/>
        <w:rPr>
          <w:u w:val="single"/>
        </w:rPr>
      </w:pPr>
      <w:r>
        <w:t>I.</w:t>
      </w:r>
      <w:r>
        <w:tab/>
      </w:r>
      <w:r>
        <w:rPr>
          <w:u w:val="single"/>
        </w:rPr>
        <w:t>Proposal</w:t>
      </w:r>
    </w:p>
    <w:p w:rsidR="00FD6FB5" w:rsidRDefault="00FD6FB5">
      <w:pPr>
        <w:suppressAutoHyphens/>
        <w:jc w:val="both"/>
        <w:rPr>
          <w:b/>
          <w:spacing w:val="-3"/>
        </w:rPr>
      </w:pPr>
    </w:p>
    <w:p w:rsidR="00FD6FB5" w:rsidRDefault="00FD6FB5">
      <w:pPr>
        <w:suppressAutoHyphens/>
        <w:ind w:left="720"/>
        <w:jc w:val="both"/>
        <w:rPr>
          <w:spacing w:val="-3"/>
        </w:rPr>
      </w:pPr>
      <w:r>
        <w:rPr>
          <w:color w:val="0000FF"/>
          <w:spacing w:val="-3"/>
        </w:rPr>
        <w:t>Facility Name</w:t>
      </w:r>
      <w:r>
        <w:rPr>
          <w:spacing w:val="-3"/>
        </w:rPr>
        <w:t xml:space="preserve"> is applying for an Authority to Construct (ATC) permit for a soil </w:t>
      </w:r>
      <w:r>
        <w:rPr>
          <w:color w:val="0000FF"/>
          <w:spacing w:val="-3"/>
        </w:rPr>
        <w:t>[and groundwater]</w:t>
      </w:r>
      <w:r>
        <w:rPr>
          <w:spacing w:val="-3"/>
        </w:rPr>
        <w:t xml:space="preserve"> remediation operation served by an internal combustion engine.  </w:t>
      </w:r>
    </w:p>
    <w:p w:rsidR="00FD6FB5" w:rsidRDefault="00FD6FB5">
      <w:pPr>
        <w:suppressAutoHyphens/>
        <w:ind w:left="720"/>
        <w:jc w:val="both"/>
        <w:rPr>
          <w:color w:val="FF0000"/>
          <w:spacing w:val="-3"/>
        </w:rPr>
      </w:pPr>
    </w:p>
    <w:p w:rsidR="00FD6FB5" w:rsidRDefault="00FD6FB5">
      <w:pPr>
        <w:suppressAutoHyphens/>
        <w:jc w:val="both"/>
        <w:rPr>
          <w:color w:val="FF0000"/>
          <w:spacing w:val="-3"/>
        </w:rPr>
      </w:pPr>
      <w:r>
        <w:rPr>
          <w:color w:val="FF0000"/>
          <w:spacing w:val="-3"/>
        </w:rPr>
        <w:t>OR</w:t>
      </w:r>
    </w:p>
    <w:p w:rsidR="00FD6FB5" w:rsidRDefault="00FD6FB5">
      <w:pPr>
        <w:suppressAutoHyphens/>
        <w:jc w:val="both"/>
        <w:rPr>
          <w:color w:val="FF0000"/>
          <w:spacing w:val="-3"/>
        </w:rPr>
      </w:pPr>
    </w:p>
    <w:p w:rsidR="00FD6FB5" w:rsidRDefault="00FD6FB5">
      <w:pPr>
        <w:suppressAutoHyphens/>
        <w:ind w:left="720"/>
        <w:jc w:val="both"/>
        <w:rPr>
          <w:color w:val="FF0000"/>
          <w:spacing w:val="-3"/>
        </w:rPr>
      </w:pPr>
      <w:r>
        <w:rPr>
          <w:color w:val="0000FF"/>
          <w:spacing w:val="-3"/>
        </w:rPr>
        <w:t>Facility Name</w:t>
      </w:r>
      <w:r>
        <w:rPr>
          <w:spacing w:val="-3"/>
        </w:rPr>
        <w:t xml:space="preserve"> is applying for an Authority to Construct (ATC) permit to modify their soil </w:t>
      </w:r>
      <w:r>
        <w:rPr>
          <w:color w:val="0000FF"/>
          <w:spacing w:val="-3"/>
        </w:rPr>
        <w:t xml:space="preserve">[and groundwater] </w:t>
      </w:r>
      <w:r>
        <w:rPr>
          <w:spacing w:val="-3"/>
        </w:rPr>
        <w:t xml:space="preserve">remediation operation to </w:t>
      </w:r>
      <w:r>
        <w:rPr>
          <w:color w:val="0000FF"/>
          <w:spacing w:val="-3"/>
        </w:rPr>
        <w:t>(state the type of modification).</w:t>
      </w:r>
      <w:r>
        <w:rPr>
          <w:spacing w:val="-3"/>
        </w:rPr>
        <w:t xml:space="preserve">  </w:t>
      </w:r>
    </w:p>
    <w:p w:rsidR="00FD6FB5" w:rsidRDefault="00FD6FB5">
      <w:pPr>
        <w:suppressAutoHyphens/>
        <w:jc w:val="both"/>
        <w:rPr>
          <w:spacing w:val="-3"/>
        </w:rPr>
      </w:pPr>
    </w:p>
    <w:p w:rsidR="00FD6FB5" w:rsidRDefault="00FD6FB5">
      <w:pPr>
        <w:pStyle w:val="Heading4"/>
        <w:rPr>
          <w:u w:val="single"/>
        </w:rPr>
      </w:pPr>
      <w:r>
        <w:t>II.</w:t>
      </w:r>
      <w:r>
        <w:tab/>
      </w:r>
      <w:r>
        <w:rPr>
          <w:u w:val="single"/>
        </w:rPr>
        <w:t>Applicable Rules</w:t>
      </w:r>
    </w:p>
    <w:p w:rsidR="00FD6FB5" w:rsidRDefault="00FD6FB5">
      <w:pPr>
        <w:suppressAutoHyphens/>
        <w:jc w:val="both"/>
        <w:rPr>
          <w:spacing w:val="-3"/>
        </w:rPr>
      </w:pPr>
    </w:p>
    <w:p w:rsidR="00FD6FB5" w:rsidRDefault="00FD6FB5">
      <w:pPr>
        <w:suppressAutoHyphens/>
        <w:jc w:val="both"/>
        <w:rPr>
          <w:spacing w:val="-2"/>
        </w:rPr>
      </w:pPr>
      <w:r>
        <w:rPr>
          <w:spacing w:val="-3"/>
        </w:rPr>
        <w:tab/>
        <w:t>Rule 2010</w:t>
      </w:r>
      <w:r w:rsidR="00AD2EF9">
        <w:rPr>
          <w:spacing w:val="-3"/>
        </w:rPr>
        <w:tab/>
      </w:r>
      <w:r>
        <w:rPr>
          <w:spacing w:val="-3"/>
        </w:rPr>
        <w:t xml:space="preserve">Permits Required </w:t>
      </w:r>
      <w:r>
        <w:rPr>
          <w:spacing w:val="-2"/>
        </w:rPr>
        <w:t>(12/17/92)</w:t>
      </w:r>
    </w:p>
    <w:p w:rsidR="00FD6FB5" w:rsidRDefault="00AD2EF9">
      <w:pPr>
        <w:suppressAutoHyphens/>
        <w:jc w:val="both"/>
        <w:rPr>
          <w:color w:val="000000"/>
          <w:spacing w:val="-2"/>
        </w:rPr>
      </w:pPr>
      <w:r>
        <w:rPr>
          <w:spacing w:val="-3"/>
        </w:rPr>
        <w:tab/>
        <w:t>Rule 2201</w:t>
      </w:r>
      <w:r>
        <w:rPr>
          <w:spacing w:val="-3"/>
        </w:rPr>
        <w:tab/>
      </w:r>
      <w:r w:rsidR="00FD6FB5">
        <w:rPr>
          <w:spacing w:val="-3"/>
        </w:rPr>
        <w:t xml:space="preserve">New and Modified Stationary Source Review Rule </w:t>
      </w:r>
      <w:r w:rsidR="00FD6FB5">
        <w:rPr>
          <w:color w:val="000000"/>
          <w:spacing w:val="-2"/>
        </w:rPr>
        <w:t>(</w:t>
      </w:r>
      <w:r w:rsidR="00425FA6">
        <w:rPr>
          <w:color w:val="000000"/>
          <w:spacing w:val="-2"/>
        </w:rPr>
        <w:t>4/21/11</w:t>
      </w:r>
      <w:r w:rsidR="00FD6FB5">
        <w:rPr>
          <w:color w:val="000000"/>
          <w:spacing w:val="-2"/>
        </w:rPr>
        <w:t>)</w:t>
      </w:r>
    </w:p>
    <w:p w:rsidR="00BE4B9C" w:rsidRDefault="00BE4B9C" w:rsidP="00BE4B9C">
      <w:pPr>
        <w:suppressAutoHyphens/>
        <w:jc w:val="both"/>
        <w:rPr>
          <w:color w:val="000000"/>
          <w:spacing w:val="-2"/>
        </w:rPr>
      </w:pPr>
      <w:r>
        <w:rPr>
          <w:color w:val="000000"/>
          <w:spacing w:val="-2"/>
        </w:rPr>
        <w:tab/>
        <w:t>Rule 2410</w:t>
      </w:r>
      <w:r>
        <w:rPr>
          <w:color w:val="000000"/>
          <w:spacing w:val="-2"/>
        </w:rPr>
        <w:tab/>
        <w:t>Prevention of Significant Deterioration (6/16/11)</w:t>
      </w:r>
    </w:p>
    <w:p w:rsidR="00FD6FB5" w:rsidRDefault="00AD2EF9" w:rsidP="00BB5EE9">
      <w:pPr>
        <w:suppressAutoHyphens/>
        <w:ind w:firstLine="720"/>
        <w:jc w:val="both"/>
        <w:rPr>
          <w:spacing w:val="-3"/>
          <w:sz w:val="20"/>
        </w:rPr>
      </w:pPr>
      <w:r>
        <w:rPr>
          <w:color w:val="000000"/>
          <w:spacing w:val="-2"/>
        </w:rPr>
        <w:t>Rule 2520</w:t>
      </w:r>
      <w:r>
        <w:rPr>
          <w:color w:val="000000"/>
          <w:spacing w:val="-2"/>
        </w:rPr>
        <w:tab/>
      </w:r>
      <w:r w:rsidR="00FD6FB5">
        <w:rPr>
          <w:color w:val="000000"/>
          <w:spacing w:val="-2"/>
        </w:rPr>
        <w:t>Federally Mandated Permits (6/21/01)</w:t>
      </w:r>
    </w:p>
    <w:p w:rsidR="00FD6FB5" w:rsidRDefault="00FD6FB5">
      <w:pPr>
        <w:suppressAutoHyphens/>
        <w:jc w:val="both"/>
        <w:rPr>
          <w:spacing w:val="-3"/>
        </w:rPr>
      </w:pPr>
      <w:r>
        <w:rPr>
          <w:spacing w:val="-3"/>
        </w:rPr>
        <w:tab/>
        <w:t>R</w:t>
      </w:r>
      <w:r w:rsidR="00AD2EF9">
        <w:rPr>
          <w:spacing w:val="-3"/>
        </w:rPr>
        <w:t>ule 4101</w:t>
      </w:r>
      <w:r w:rsidR="00AD2EF9">
        <w:rPr>
          <w:spacing w:val="-3"/>
        </w:rPr>
        <w:tab/>
      </w:r>
      <w:r>
        <w:rPr>
          <w:spacing w:val="-3"/>
        </w:rPr>
        <w:t xml:space="preserve">Visible Emissions </w:t>
      </w:r>
      <w:r>
        <w:rPr>
          <w:spacing w:val="-2"/>
        </w:rPr>
        <w:t>(</w:t>
      </w:r>
      <w:r w:rsidR="00425FA6">
        <w:rPr>
          <w:spacing w:val="-2"/>
        </w:rPr>
        <w:t>2/17/05</w:t>
      </w:r>
      <w:r>
        <w:rPr>
          <w:spacing w:val="-2"/>
        </w:rPr>
        <w:t>)</w:t>
      </w:r>
    </w:p>
    <w:p w:rsidR="00FD6FB5" w:rsidRDefault="00AD2EF9">
      <w:pPr>
        <w:suppressAutoHyphens/>
        <w:jc w:val="both"/>
        <w:rPr>
          <w:spacing w:val="-2"/>
        </w:rPr>
      </w:pPr>
      <w:r>
        <w:rPr>
          <w:spacing w:val="-3"/>
        </w:rPr>
        <w:tab/>
        <w:t>Rule 4102</w:t>
      </w:r>
      <w:r>
        <w:rPr>
          <w:spacing w:val="-3"/>
        </w:rPr>
        <w:tab/>
      </w:r>
      <w:r w:rsidR="00FD6FB5">
        <w:rPr>
          <w:spacing w:val="-3"/>
        </w:rPr>
        <w:t xml:space="preserve">Nuisance </w:t>
      </w:r>
      <w:r w:rsidR="00FD6FB5">
        <w:rPr>
          <w:spacing w:val="-2"/>
        </w:rPr>
        <w:t>(12/17/92)</w:t>
      </w:r>
    </w:p>
    <w:p w:rsidR="00FD6FB5" w:rsidRDefault="00FD6FB5">
      <w:pPr>
        <w:suppressAutoHyphens/>
        <w:ind w:firstLine="720"/>
        <w:jc w:val="both"/>
        <w:rPr>
          <w:spacing w:val="-2"/>
        </w:rPr>
      </w:pPr>
      <w:r>
        <w:rPr>
          <w:spacing w:val="-2"/>
        </w:rPr>
        <w:t>Rule 4201</w:t>
      </w:r>
      <w:r w:rsidR="00AD2EF9">
        <w:rPr>
          <w:spacing w:val="-2"/>
        </w:rPr>
        <w:tab/>
      </w:r>
      <w:r>
        <w:rPr>
          <w:color w:val="000000"/>
        </w:rPr>
        <w:t xml:space="preserve">Particulate Matter Concentration </w:t>
      </w:r>
      <w:r>
        <w:rPr>
          <w:spacing w:val="-2"/>
        </w:rPr>
        <w:t>(12/17/92)</w:t>
      </w:r>
    </w:p>
    <w:p w:rsidR="00FD6FB5" w:rsidRDefault="00AD2EF9">
      <w:pPr>
        <w:suppressAutoHyphens/>
        <w:ind w:right="-180" w:firstLine="720"/>
        <w:jc w:val="both"/>
        <w:rPr>
          <w:spacing w:val="-2"/>
        </w:rPr>
      </w:pPr>
      <w:r>
        <w:rPr>
          <w:spacing w:val="-2"/>
        </w:rPr>
        <w:t>Rule 4651</w:t>
      </w:r>
      <w:r>
        <w:rPr>
          <w:spacing w:val="-2"/>
        </w:rPr>
        <w:tab/>
      </w:r>
      <w:r w:rsidR="00FD6FB5">
        <w:rPr>
          <w:spacing w:val="-2"/>
        </w:rPr>
        <w:t>Volatile Organic Compounds from Decontamination of Soil (</w:t>
      </w:r>
      <w:r w:rsidR="00425FA6">
        <w:rPr>
          <w:spacing w:val="-2"/>
        </w:rPr>
        <w:t>9/20/07</w:t>
      </w:r>
      <w:r w:rsidR="00FD6FB5">
        <w:rPr>
          <w:spacing w:val="-2"/>
        </w:rPr>
        <w:t>)</w:t>
      </w:r>
    </w:p>
    <w:p w:rsidR="00FD6FB5" w:rsidRDefault="00AD2EF9">
      <w:pPr>
        <w:suppressAutoHyphens/>
        <w:jc w:val="both"/>
        <w:rPr>
          <w:spacing w:val="-2"/>
        </w:rPr>
      </w:pPr>
      <w:r>
        <w:rPr>
          <w:spacing w:val="-2"/>
        </w:rPr>
        <w:tab/>
        <w:t>Rule 4701</w:t>
      </w:r>
      <w:r>
        <w:rPr>
          <w:spacing w:val="-2"/>
        </w:rPr>
        <w:tab/>
      </w:r>
      <w:r w:rsidR="00FD6FB5">
        <w:rPr>
          <w:spacing w:val="-2"/>
        </w:rPr>
        <w:t>Internal Combustion Engines (</w:t>
      </w:r>
      <w:r w:rsidR="00425FA6">
        <w:rPr>
          <w:spacing w:val="-2"/>
        </w:rPr>
        <w:t>8/21/03</w:t>
      </w:r>
      <w:r w:rsidR="00FD6FB5">
        <w:rPr>
          <w:spacing w:val="-2"/>
        </w:rPr>
        <w:t>)</w:t>
      </w:r>
    </w:p>
    <w:p w:rsidR="00BD6374" w:rsidRDefault="00AD2EF9" w:rsidP="007009EE">
      <w:pPr>
        <w:suppressAutoHyphens/>
        <w:ind w:firstLine="720"/>
        <w:jc w:val="both"/>
        <w:rPr>
          <w:spacing w:val="-2"/>
        </w:rPr>
      </w:pPr>
      <w:r>
        <w:rPr>
          <w:spacing w:val="-2"/>
        </w:rPr>
        <w:t>Rule 4702</w:t>
      </w:r>
      <w:r>
        <w:rPr>
          <w:spacing w:val="-2"/>
        </w:rPr>
        <w:tab/>
      </w:r>
      <w:r w:rsidR="00BD6374">
        <w:rPr>
          <w:spacing w:val="-2"/>
        </w:rPr>
        <w:t>Internal Combustion Engines (8/18/11</w:t>
      </w:r>
    </w:p>
    <w:p w:rsidR="00FD6FB5" w:rsidRDefault="00AD2EF9">
      <w:pPr>
        <w:suppressAutoHyphens/>
        <w:ind w:firstLine="720"/>
        <w:jc w:val="both"/>
        <w:rPr>
          <w:spacing w:val="-3"/>
        </w:rPr>
      </w:pPr>
      <w:r>
        <w:rPr>
          <w:spacing w:val="-2"/>
        </w:rPr>
        <w:t>Rule 4801</w:t>
      </w:r>
      <w:r>
        <w:rPr>
          <w:spacing w:val="-2"/>
        </w:rPr>
        <w:tab/>
      </w:r>
      <w:r w:rsidR="00FD6FB5">
        <w:rPr>
          <w:spacing w:val="-2"/>
        </w:rPr>
        <w:t>Sulfur Compounds (12/17/92)</w:t>
      </w:r>
    </w:p>
    <w:p w:rsidR="00FD6FB5" w:rsidRDefault="00FD6FB5">
      <w:pPr>
        <w:suppressAutoHyphens/>
        <w:jc w:val="both"/>
        <w:rPr>
          <w:spacing w:val="-3"/>
        </w:rPr>
      </w:pPr>
      <w:r>
        <w:tab/>
      </w:r>
      <w:r>
        <w:rPr>
          <w:spacing w:val="-3"/>
        </w:rPr>
        <w:t>CH&amp;SC 41700</w:t>
      </w:r>
      <w:r w:rsidR="00AD2EF9">
        <w:rPr>
          <w:spacing w:val="-3"/>
        </w:rPr>
        <w:tab/>
      </w:r>
      <w:r>
        <w:rPr>
          <w:spacing w:val="-3"/>
        </w:rPr>
        <w:t>California Health and Safety Code (Health Risk Assessment)</w:t>
      </w:r>
    </w:p>
    <w:p w:rsidR="00FD6FB5" w:rsidRDefault="00AD2EF9">
      <w:pPr>
        <w:pStyle w:val="BodyText3"/>
        <w:ind w:firstLine="720"/>
      </w:pPr>
      <w:r>
        <w:t>CH&amp;SC 42301.6</w:t>
      </w:r>
      <w:r>
        <w:tab/>
      </w:r>
      <w:r w:rsidR="00FD6FB5">
        <w:t>California Health and Safety Code (School Notice)</w:t>
      </w:r>
    </w:p>
    <w:p w:rsidR="00FD6FB5" w:rsidRDefault="00FD6FB5">
      <w:pPr>
        <w:ind w:left="720"/>
        <w:rPr>
          <w:rFonts w:cs="Arial"/>
          <w:spacing w:val="-3"/>
        </w:rPr>
      </w:pPr>
      <w:bookmarkStart w:id="1" w:name="OLE_LINK4"/>
      <w:bookmarkStart w:id="2" w:name="OLE_LINK5"/>
      <w:r>
        <w:rPr>
          <w:rFonts w:cs="Arial"/>
          <w:spacing w:val="-3"/>
        </w:rPr>
        <w:t>Public Resources Code 21000-21177: California Environmental Quality Act (CEQA</w:t>
      </w:r>
      <w:r w:rsidR="007B2603">
        <w:rPr>
          <w:rFonts w:cs="Arial"/>
          <w:spacing w:val="-3"/>
        </w:rPr>
        <w:t>) California</w:t>
      </w:r>
      <w:r>
        <w:rPr>
          <w:rFonts w:cs="Arial"/>
          <w:spacing w:val="-3"/>
        </w:rPr>
        <w:t xml:space="preserve"> Code of Regulations, Title 14, Division 6, Chapter 3, Sections 15000-15387: CEQA Guidelines</w:t>
      </w:r>
    </w:p>
    <w:bookmarkEnd w:id="1"/>
    <w:bookmarkEnd w:id="2"/>
    <w:p w:rsidR="00FD6FB5" w:rsidRDefault="00FD6FB5">
      <w:pPr>
        <w:pStyle w:val="BodyText3"/>
        <w:ind w:firstLine="720"/>
      </w:pPr>
    </w:p>
    <w:p w:rsidR="00FD6FB5" w:rsidRDefault="00FD6FB5">
      <w:pPr>
        <w:pStyle w:val="BodyText3"/>
      </w:pPr>
    </w:p>
    <w:p w:rsidR="00FD6FB5" w:rsidRDefault="00FD6FB5">
      <w:pPr>
        <w:suppressAutoHyphens/>
        <w:jc w:val="both"/>
        <w:rPr>
          <w:b/>
          <w:spacing w:val="-3"/>
        </w:rPr>
      </w:pPr>
      <w:r>
        <w:rPr>
          <w:b/>
          <w:spacing w:val="-3"/>
        </w:rPr>
        <w:t>III.</w:t>
      </w:r>
      <w:r>
        <w:rPr>
          <w:b/>
          <w:spacing w:val="-3"/>
        </w:rPr>
        <w:tab/>
      </w:r>
      <w:r>
        <w:rPr>
          <w:b/>
          <w:spacing w:val="-3"/>
          <w:u w:val="single"/>
        </w:rPr>
        <w:t>Project Location</w:t>
      </w:r>
    </w:p>
    <w:p w:rsidR="00FD6FB5" w:rsidRDefault="00FD6FB5">
      <w:pPr>
        <w:suppressAutoHyphens/>
        <w:jc w:val="both"/>
        <w:rPr>
          <w:spacing w:val="-3"/>
        </w:rPr>
      </w:pPr>
    </w:p>
    <w:p w:rsidR="00FD6FB5" w:rsidRDefault="00FD6FB5">
      <w:pPr>
        <w:suppressAutoHyphens/>
        <w:ind w:left="720"/>
        <w:jc w:val="both"/>
        <w:rPr>
          <w:color w:val="0000FF"/>
          <w:spacing w:val="-3"/>
        </w:rPr>
      </w:pPr>
      <w:r>
        <w:rPr>
          <w:spacing w:val="-3"/>
        </w:rPr>
        <w:t xml:space="preserve">The facility is located at </w:t>
      </w:r>
      <w:r w:rsidR="00425FA6">
        <w:rPr>
          <w:spacing w:val="-3"/>
        </w:rPr>
        <w:t>[</w:t>
      </w:r>
      <w:r>
        <w:rPr>
          <w:color w:val="0000FF"/>
          <w:spacing w:val="-3"/>
        </w:rPr>
        <w:t>location</w:t>
      </w:r>
      <w:r w:rsidR="00425FA6">
        <w:rPr>
          <w:color w:val="0000FF"/>
          <w:spacing w:val="-3"/>
        </w:rPr>
        <w:t>]</w:t>
      </w:r>
      <w:r>
        <w:rPr>
          <w:spacing w:val="-3"/>
        </w:rPr>
        <w:t xml:space="preserve">.  The facility </w:t>
      </w:r>
      <w:r>
        <w:rPr>
          <w:color w:val="0000FF"/>
          <w:spacing w:val="-3"/>
        </w:rPr>
        <w:t>is</w:t>
      </w:r>
      <w:r w:rsidR="00425FA6">
        <w:rPr>
          <w:color w:val="0000FF"/>
          <w:spacing w:val="-3"/>
        </w:rPr>
        <w:t>/</w:t>
      </w:r>
      <w:r>
        <w:rPr>
          <w:color w:val="0000FF"/>
          <w:spacing w:val="-3"/>
        </w:rPr>
        <w:t>is not</w:t>
      </w:r>
      <w:r>
        <w:rPr>
          <w:spacing w:val="-3"/>
        </w:rPr>
        <w:t xml:space="preserve"> located within 1,000 feet of the outer boundary of any K-12 school.  </w:t>
      </w:r>
      <w:r>
        <w:rPr>
          <w:i/>
          <w:iCs/>
          <w:color w:val="FF0000"/>
          <w:spacing w:val="-3"/>
        </w:rPr>
        <w:t>If school notice is required then state:</w:t>
      </w:r>
      <w:r>
        <w:rPr>
          <w:color w:val="FF0000"/>
          <w:spacing w:val="-3"/>
        </w:rPr>
        <w:t xml:space="preserve"> </w:t>
      </w:r>
      <w:r>
        <w:rPr>
          <w:spacing w:val="-3"/>
        </w:rPr>
        <w:t>Therefore, pursuant to CH&amp;SC 42301.6, California Health and Safety Code (School Notice), public notification</w:t>
      </w:r>
      <w:r>
        <w:rPr>
          <w:color w:val="0000FF"/>
          <w:spacing w:val="-3"/>
        </w:rPr>
        <w:t xml:space="preserve"> [is</w:t>
      </w:r>
      <w:r w:rsidR="00BD6374">
        <w:rPr>
          <w:color w:val="0000FF"/>
          <w:spacing w:val="-3"/>
        </w:rPr>
        <w:t>/</w:t>
      </w:r>
      <w:r>
        <w:rPr>
          <w:color w:val="0000FF"/>
          <w:spacing w:val="-3"/>
        </w:rPr>
        <w:t xml:space="preserve">is not] </w:t>
      </w:r>
      <w:r>
        <w:rPr>
          <w:spacing w:val="-3"/>
        </w:rPr>
        <w:t>required.</w:t>
      </w:r>
    </w:p>
    <w:p w:rsidR="00FD6FB5" w:rsidRDefault="00FD6FB5">
      <w:pPr>
        <w:suppressAutoHyphens/>
        <w:jc w:val="both"/>
        <w:rPr>
          <w:spacing w:val="-3"/>
        </w:rPr>
      </w:pPr>
    </w:p>
    <w:p w:rsidR="00BD6374" w:rsidRDefault="00FD6FB5">
      <w:pPr>
        <w:suppressAutoHyphens/>
        <w:ind w:left="720"/>
        <w:jc w:val="both"/>
        <w:rPr>
          <w:color w:val="0000FF"/>
          <w:spacing w:val="-3"/>
        </w:rPr>
      </w:pPr>
      <w:r>
        <w:rPr>
          <w:color w:val="FF0000"/>
          <w:spacing w:val="-3"/>
        </w:rPr>
        <w:t xml:space="preserve">If located at existing stationary source then </w:t>
      </w:r>
      <w:r w:rsidR="007876F9">
        <w:rPr>
          <w:color w:val="FF0000"/>
          <w:spacing w:val="-3"/>
        </w:rPr>
        <w:t>add</w:t>
      </w:r>
      <w:r>
        <w:rPr>
          <w:color w:val="FF0000"/>
          <w:spacing w:val="-3"/>
        </w:rPr>
        <w:t>:</w:t>
      </w:r>
      <w:r>
        <w:rPr>
          <w:color w:val="0000FF"/>
          <w:spacing w:val="-3"/>
        </w:rPr>
        <w:t xml:space="preserve">  </w:t>
      </w:r>
    </w:p>
    <w:p w:rsidR="00BD6374" w:rsidRPr="00BD6374" w:rsidRDefault="00BD6374" w:rsidP="00BD6374">
      <w:pPr>
        <w:suppressAutoHyphens/>
        <w:ind w:left="720"/>
        <w:jc w:val="both"/>
        <w:rPr>
          <w:color w:val="0000FF"/>
          <w:spacing w:val="-3"/>
        </w:rPr>
      </w:pPr>
      <w:r w:rsidRPr="00BD6374">
        <w:rPr>
          <w:color w:val="0000FF"/>
          <w:spacing w:val="-3"/>
        </w:rPr>
        <w:t>Although this operation is located at [Facility Name and #], it is considered a separate stationary source with a different SIC code since the soil remediation operation is not considered a normal business activity of the existing facility.</w:t>
      </w:r>
    </w:p>
    <w:p w:rsidR="00FD6FB5" w:rsidRDefault="00FD6FB5">
      <w:pPr>
        <w:suppressAutoHyphens/>
        <w:jc w:val="both"/>
        <w:rPr>
          <w:spacing w:val="-3"/>
        </w:rPr>
      </w:pPr>
    </w:p>
    <w:p w:rsidR="00FD6FB5" w:rsidRDefault="00FD6FB5">
      <w:pPr>
        <w:pStyle w:val="Heading4"/>
      </w:pPr>
      <w:r>
        <w:t>IV.</w:t>
      </w:r>
      <w:r>
        <w:tab/>
      </w:r>
      <w:r>
        <w:rPr>
          <w:u w:val="single"/>
        </w:rPr>
        <w:t>Process Description</w:t>
      </w:r>
    </w:p>
    <w:p w:rsidR="00FD6FB5" w:rsidRDefault="00FD6FB5">
      <w:pPr>
        <w:suppressAutoHyphens/>
        <w:jc w:val="both"/>
        <w:rPr>
          <w:spacing w:val="-3"/>
        </w:rPr>
      </w:pPr>
    </w:p>
    <w:p w:rsidR="00FD6FB5" w:rsidRDefault="00FD6FB5">
      <w:pPr>
        <w:suppressAutoHyphens/>
        <w:ind w:left="720" w:hanging="720"/>
        <w:jc w:val="both"/>
      </w:pPr>
      <w:r>
        <w:rPr>
          <w:spacing w:val="-3"/>
        </w:rPr>
        <w:tab/>
      </w:r>
      <w:r>
        <w:t xml:space="preserve">The remediation system will consist of a </w:t>
      </w:r>
      <w:r w:rsidR="00BD6374">
        <w:t>[</w:t>
      </w:r>
      <w:r>
        <w:rPr>
          <w:color w:val="0000FF"/>
        </w:rPr>
        <w:t>Make, Model,</w:t>
      </w:r>
      <w:r w:rsidR="008B2F73">
        <w:rPr>
          <w:color w:val="0000FF"/>
        </w:rPr>
        <w:t xml:space="preserve"> bhp</w:t>
      </w:r>
      <w:r>
        <w:rPr>
          <w:color w:val="0000FF"/>
        </w:rPr>
        <w:t xml:space="preserve"> rating</w:t>
      </w:r>
      <w:r w:rsidR="00BD6374">
        <w:rPr>
          <w:color w:val="0000FF"/>
        </w:rPr>
        <w:t>]</w:t>
      </w:r>
      <w:r>
        <w:t xml:space="preserve"> </w:t>
      </w:r>
      <w:r w:rsidR="00BD6374">
        <w:t>b</w:t>
      </w:r>
      <w:r>
        <w:t xml:space="preserve">hp internal combustion engine, which will be fueled by the extracted gasoline vapors and will use </w:t>
      </w:r>
      <w:r>
        <w:rPr>
          <w:color w:val="0000FF"/>
        </w:rPr>
        <w:t>LPG/Natural gas</w:t>
      </w:r>
      <w:r>
        <w:t xml:space="preserve"> as auxiliary fuel.  The exhaust from the IC engine will pass through a </w:t>
      </w:r>
      <w:r>
        <w:rPr>
          <w:color w:val="000000"/>
        </w:rPr>
        <w:t>3</w:t>
      </w:r>
      <w:r>
        <w:t>-way catalyst to reduce the CO, VOC, and NO</w:t>
      </w:r>
      <w:r>
        <w:rPr>
          <w:vertAlign w:val="subscript"/>
        </w:rPr>
        <w:t>x</w:t>
      </w:r>
      <w:r>
        <w:t xml:space="preserve"> emissions. The internal combustion engine will destroy at least 95% of the contaminants in the process stream prior to discharge into the atmosphere.</w:t>
      </w:r>
    </w:p>
    <w:p w:rsidR="00FD6FB5" w:rsidRDefault="00FD6FB5">
      <w:pPr>
        <w:suppressAutoHyphens/>
        <w:ind w:left="720" w:hanging="720"/>
        <w:jc w:val="both"/>
        <w:rPr>
          <w:spacing w:val="-3"/>
        </w:rPr>
      </w:pPr>
    </w:p>
    <w:p w:rsidR="00FD6FB5" w:rsidRDefault="00FD6FB5">
      <w:pPr>
        <w:suppressAutoHyphens/>
        <w:jc w:val="both"/>
        <w:rPr>
          <w:spacing w:val="-3"/>
        </w:rPr>
      </w:pPr>
      <w:r>
        <w:rPr>
          <w:spacing w:val="-3"/>
        </w:rPr>
        <w:tab/>
      </w:r>
      <w:r>
        <w:rPr>
          <w:spacing w:val="-3"/>
          <w:u w:val="single"/>
        </w:rPr>
        <w:t>Operating Schedule</w:t>
      </w:r>
      <w:r>
        <w:rPr>
          <w:spacing w:val="-3"/>
        </w:rPr>
        <w:t>:</w:t>
      </w:r>
    </w:p>
    <w:p w:rsidR="00FD6FB5" w:rsidRDefault="00FD6FB5">
      <w:pPr>
        <w:suppressAutoHyphens/>
        <w:jc w:val="both"/>
        <w:rPr>
          <w:spacing w:val="-3"/>
        </w:rPr>
      </w:pPr>
    </w:p>
    <w:p w:rsidR="00FD6FB5" w:rsidRDefault="00FD6FB5">
      <w:pPr>
        <w:pStyle w:val="BodyTextIndent"/>
      </w:pPr>
      <w:r>
        <w:t xml:space="preserve">The operating schedule is </w:t>
      </w:r>
      <w:r>
        <w:rPr>
          <w:color w:val="0000FF"/>
        </w:rPr>
        <w:t>[  ]</w:t>
      </w:r>
      <w:r>
        <w:t xml:space="preserve"> hr/day, </w:t>
      </w:r>
      <w:r>
        <w:rPr>
          <w:color w:val="0000FF"/>
        </w:rPr>
        <w:t>[  ]</w:t>
      </w:r>
      <w:r>
        <w:t xml:space="preserve"> days/week, and </w:t>
      </w:r>
      <w:r>
        <w:rPr>
          <w:color w:val="0000FF"/>
        </w:rPr>
        <w:t>[  ]</w:t>
      </w:r>
      <w:r>
        <w:t xml:space="preserve"> weeks/year.  The expected life of this project is </w:t>
      </w:r>
      <w:r>
        <w:rPr>
          <w:color w:val="0000FF"/>
        </w:rPr>
        <w:t xml:space="preserve">[  ] </w:t>
      </w:r>
      <w:r>
        <w:t>years.</w:t>
      </w:r>
    </w:p>
    <w:p w:rsidR="00FD6FB5" w:rsidRDefault="00FD6FB5">
      <w:pPr>
        <w:suppressAutoHyphens/>
        <w:jc w:val="both"/>
        <w:rPr>
          <w:b/>
          <w:spacing w:val="-3"/>
        </w:rPr>
      </w:pPr>
      <w:r>
        <w:rPr>
          <w:b/>
          <w:spacing w:val="-3"/>
        </w:rPr>
        <w:tab/>
      </w:r>
    </w:p>
    <w:p w:rsidR="00FD6FB5" w:rsidRDefault="00FD6FB5">
      <w:pPr>
        <w:pStyle w:val="Heading5"/>
      </w:pPr>
      <w:r>
        <w:tab/>
        <w:t>V.</w:t>
      </w:r>
      <w:r>
        <w:tab/>
      </w:r>
      <w:r>
        <w:rPr>
          <w:u w:val="single"/>
        </w:rPr>
        <w:t>Equipment Listing</w:t>
      </w:r>
    </w:p>
    <w:p w:rsidR="00FD6FB5" w:rsidRDefault="00FD6FB5">
      <w:pPr>
        <w:tabs>
          <w:tab w:val="left" w:pos="2380"/>
        </w:tabs>
        <w:suppressAutoHyphens/>
        <w:jc w:val="both"/>
        <w:rPr>
          <w:b/>
          <w:color w:val="0000FF"/>
          <w:spacing w:val="-3"/>
        </w:rPr>
      </w:pPr>
      <w:r>
        <w:rPr>
          <w:b/>
          <w:color w:val="0000FF"/>
          <w:spacing w:val="-3"/>
        </w:rPr>
        <w:tab/>
      </w:r>
    </w:p>
    <w:p w:rsidR="00FD6FB5" w:rsidRDefault="00FD6FB5">
      <w:pPr>
        <w:suppressAutoHyphens/>
        <w:jc w:val="both"/>
        <w:rPr>
          <w:bCs/>
          <w:spacing w:val="-3"/>
          <w:u w:val="single"/>
        </w:rPr>
      </w:pPr>
      <w:r>
        <w:rPr>
          <w:b/>
          <w:spacing w:val="-3"/>
        </w:rPr>
        <w:tab/>
      </w:r>
      <w:r>
        <w:rPr>
          <w:bCs/>
          <w:spacing w:val="-3"/>
          <w:u w:val="single"/>
        </w:rPr>
        <w:t>Internal Combustion Engine:</w:t>
      </w:r>
    </w:p>
    <w:p w:rsidR="00FD6FB5" w:rsidRDefault="00FD6FB5">
      <w:pPr>
        <w:tabs>
          <w:tab w:val="left" w:pos="-1440"/>
          <w:tab w:val="left" w:pos="-720"/>
          <w:tab w:val="right" w:pos="3780"/>
        </w:tabs>
        <w:suppressAutoHyphens/>
        <w:jc w:val="both"/>
        <w:rPr>
          <w:spacing w:val="-3"/>
        </w:rPr>
      </w:pPr>
      <w:r>
        <w:rPr>
          <w:spacing w:val="-3"/>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130"/>
      </w:tblGrid>
      <w:tr w:rsidR="00FD6FB5">
        <w:tc>
          <w:tcPr>
            <w:tcW w:w="3420" w:type="dxa"/>
            <w:tcBorders>
              <w:top w:val="nil"/>
              <w:left w:val="nil"/>
              <w:bottom w:val="nil"/>
              <w:right w:val="nil"/>
            </w:tcBorders>
          </w:tcPr>
          <w:p w:rsidR="00FD6FB5" w:rsidRDefault="00FD6FB5">
            <w:pPr>
              <w:suppressAutoHyphens/>
              <w:jc w:val="right"/>
              <w:rPr>
                <w:spacing w:val="-3"/>
              </w:rPr>
            </w:pPr>
            <w:r>
              <w:rPr>
                <w:spacing w:val="-3"/>
              </w:rPr>
              <w:t xml:space="preserve">Manufacturer: </w:t>
            </w:r>
          </w:p>
        </w:tc>
        <w:tc>
          <w:tcPr>
            <w:tcW w:w="5130" w:type="dxa"/>
            <w:tcBorders>
              <w:top w:val="nil"/>
              <w:left w:val="nil"/>
              <w:bottom w:val="nil"/>
              <w:right w:val="nil"/>
            </w:tcBorders>
          </w:tcPr>
          <w:p w:rsidR="00FD6FB5" w:rsidRDefault="00FD6FB5">
            <w:pPr>
              <w:suppressAutoHyphens/>
              <w:rPr>
                <w:spacing w:val="-3"/>
              </w:rPr>
            </w:pPr>
            <w:r>
              <w:rPr>
                <w:color w:val="0000FF"/>
              </w:rPr>
              <w:t>[  ]</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Model #:</w:t>
            </w:r>
          </w:p>
        </w:tc>
        <w:tc>
          <w:tcPr>
            <w:tcW w:w="5130" w:type="dxa"/>
            <w:tcBorders>
              <w:top w:val="nil"/>
              <w:left w:val="nil"/>
              <w:bottom w:val="nil"/>
              <w:right w:val="nil"/>
            </w:tcBorders>
          </w:tcPr>
          <w:p w:rsidR="00FD6FB5" w:rsidRDefault="00FD6FB5">
            <w:pPr>
              <w:suppressAutoHyphens/>
              <w:rPr>
                <w:spacing w:val="-3"/>
              </w:rPr>
            </w:pPr>
            <w:r>
              <w:rPr>
                <w:color w:val="0000FF"/>
              </w:rPr>
              <w:t>[  ]</w:t>
            </w:r>
            <w:r>
              <w:rPr>
                <w:color w:val="0000FF"/>
                <w:spacing w:val="-3"/>
              </w:rPr>
              <w:t xml:space="preserve"> </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Rated Power:</w:t>
            </w:r>
          </w:p>
        </w:tc>
        <w:tc>
          <w:tcPr>
            <w:tcW w:w="5130" w:type="dxa"/>
            <w:tcBorders>
              <w:top w:val="nil"/>
              <w:left w:val="nil"/>
              <w:bottom w:val="nil"/>
              <w:right w:val="nil"/>
            </w:tcBorders>
          </w:tcPr>
          <w:p w:rsidR="00FD6FB5" w:rsidRDefault="00FD6FB5">
            <w:pPr>
              <w:suppressAutoHyphens/>
              <w:rPr>
                <w:spacing w:val="-3"/>
              </w:rPr>
            </w:pPr>
            <w:r>
              <w:rPr>
                <w:color w:val="0000FF"/>
              </w:rPr>
              <w:t>[  ]</w:t>
            </w:r>
            <w:r>
              <w:rPr>
                <w:color w:val="0000FF"/>
                <w:spacing w:val="-3"/>
              </w:rPr>
              <w:t xml:space="preserve"> </w:t>
            </w:r>
            <w:r>
              <w:rPr>
                <w:spacing w:val="-3"/>
              </w:rPr>
              <w:t>BHP</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Primary Fuel:</w:t>
            </w:r>
          </w:p>
        </w:tc>
        <w:tc>
          <w:tcPr>
            <w:tcW w:w="5130" w:type="dxa"/>
            <w:tcBorders>
              <w:top w:val="nil"/>
              <w:left w:val="nil"/>
              <w:bottom w:val="nil"/>
              <w:right w:val="nil"/>
            </w:tcBorders>
          </w:tcPr>
          <w:p w:rsidR="00FD6FB5" w:rsidRDefault="00FD6FB5">
            <w:pPr>
              <w:pStyle w:val="FootnoteText"/>
              <w:suppressAutoHyphens/>
              <w:rPr>
                <w:rFonts w:ascii="Arial" w:hAnsi="Arial"/>
              </w:rPr>
            </w:pPr>
            <w:r>
              <w:rPr>
                <w:rFonts w:ascii="Arial" w:hAnsi="Arial"/>
              </w:rPr>
              <w:t>Gasoline</w:t>
            </w:r>
            <w:r w:rsidR="00C45E26">
              <w:rPr>
                <w:rFonts w:ascii="Arial" w:hAnsi="Arial"/>
              </w:rPr>
              <w:t xml:space="preserve"> vapors</w:t>
            </w:r>
          </w:p>
        </w:tc>
      </w:tr>
      <w:tr w:rsidR="00FD6FB5">
        <w:tc>
          <w:tcPr>
            <w:tcW w:w="3420" w:type="dxa"/>
            <w:tcBorders>
              <w:top w:val="nil"/>
              <w:left w:val="nil"/>
              <w:bottom w:val="nil"/>
              <w:right w:val="nil"/>
            </w:tcBorders>
          </w:tcPr>
          <w:p w:rsidR="00FD6FB5" w:rsidRDefault="00FD6FB5">
            <w:pPr>
              <w:suppressAutoHyphens/>
              <w:jc w:val="right"/>
              <w:rPr>
                <w:spacing w:val="-3"/>
              </w:rPr>
            </w:pPr>
          </w:p>
        </w:tc>
        <w:tc>
          <w:tcPr>
            <w:tcW w:w="5130" w:type="dxa"/>
            <w:tcBorders>
              <w:top w:val="nil"/>
              <w:left w:val="nil"/>
              <w:bottom w:val="nil"/>
              <w:right w:val="nil"/>
            </w:tcBorders>
          </w:tcPr>
          <w:p w:rsidR="00FD6FB5" w:rsidRDefault="00FD6FB5">
            <w:pPr>
              <w:suppressAutoHyphens/>
              <w:rPr>
                <w:color w:val="0000FF"/>
                <w:spacing w:val="-3"/>
              </w:rPr>
            </w:pP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Secondary Fuel:</w:t>
            </w:r>
          </w:p>
        </w:tc>
        <w:tc>
          <w:tcPr>
            <w:tcW w:w="5130" w:type="dxa"/>
            <w:tcBorders>
              <w:top w:val="nil"/>
              <w:left w:val="nil"/>
              <w:bottom w:val="nil"/>
              <w:right w:val="nil"/>
            </w:tcBorders>
          </w:tcPr>
          <w:p w:rsidR="00FD6FB5" w:rsidRDefault="00FD6FB5">
            <w:pPr>
              <w:suppressAutoHyphens/>
              <w:rPr>
                <w:color w:val="0000FF"/>
                <w:spacing w:val="-3"/>
              </w:rPr>
            </w:pPr>
            <w:r>
              <w:rPr>
                <w:color w:val="0000FF"/>
                <w:spacing w:val="-3"/>
              </w:rPr>
              <w:t>LPG/Natural gas</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Flow Rate:</w:t>
            </w:r>
          </w:p>
        </w:tc>
        <w:tc>
          <w:tcPr>
            <w:tcW w:w="5130" w:type="dxa"/>
            <w:tcBorders>
              <w:top w:val="nil"/>
              <w:left w:val="nil"/>
              <w:bottom w:val="nil"/>
              <w:right w:val="nil"/>
            </w:tcBorders>
          </w:tcPr>
          <w:p w:rsidR="00FD6FB5" w:rsidRDefault="00FD6FB5">
            <w:pPr>
              <w:suppressAutoHyphens/>
              <w:rPr>
                <w:spacing w:val="-3"/>
              </w:rPr>
            </w:pPr>
            <w:r>
              <w:rPr>
                <w:color w:val="0000FF"/>
                <w:spacing w:val="-3"/>
              </w:rPr>
              <w:t xml:space="preserve">[  ] </w:t>
            </w:r>
            <w:r>
              <w:rPr>
                <w:spacing w:val="-3"/>
              </w:rPr>
              <w:t>cfm</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 xml:space="preserve">Stack Diameter: </w:t>
            </w:r>
          </w:p>
        </w:tc>
        <w:tc>
          <w:tcPr>
            <w:tcW w:w="5130" w:type="dxa"/>
            <w:tcBorders>
              <w:top w:val="nil"/>
              <w:left w:val="nil"/>
              <w:bottom w:val="nil"/>
              <w:right w:val="nil"/>
            </w:tcBorders>
          </w:tcPr>
          <w:p w:rsidR="00FD6FB5" w:rsidRDefault="00FD6FB5">
            <w:pPr>
              <w:suppressAutoHyphens/>
              <w:rPr>
                <w:spacing w:val="-3"/>
              </w:rPr>
            </w:pPr>
            <w:r>
              <w:rPr>
                <w:color w:val="0000FF"/>
              </w:rPr>
              <w:t xml:space="preserve">[  ] </w:t>
            </w:r>
            <w:r>
              <w:rPr>
                <w:spacing w:val="-3"/>
              </w:rPr>
              <w:t>in</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 xml:space="preserve">Stack Height: </w:t>
            </w:r>
          </w:p>
        </w:tc>
        <w:tc>
          <w:tcPr>
            <w:tcW w:w="5130" w:type="dxa"/>
            <w:tcBorders>
              <w:top w:val="nil"/>
              <w:left w:val="nil"/>
              <w:bottom w:val="nil"/>
              <w:right w:val="nil"/>
            </w:tcBorders>
          </w:tcPr>
          <w:p w:rsidR="00FD6FB5" w:rsidRDefault="00FD6FB5">
            <w:pPr>
              <w:suppressAutoHyphens/>
              <w:rPr>
                <w:spacing w:val="-3"/>
              </w:rPr>
            </w:pPr>
            <w:r>
              <w:rPr>
                <w:color w:val="0000FF"/>
              </w:rPr>
              <w:t xml:space="preserve">[  ] </w:t>
            </w:r>
            <w:r>
              <w:rPr>
                <w:spacing w:val="-3"/>
              </w:rPr>
              <w:t>ft</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 xml:space="preserve">Stack Exit Temperature: </w:t>
            </w:r>
          </w:p>
        </w:tc>
        <w:tc>
          <w:tcPr>
            <w:tcW w:w="5130" w:type="dxa"/>
            <w:tcBorders>
              <w:top w:val="nil"/>
              <w:left w:val="nil"/>
              <w:bottom w:val="nil"/>
              <w:right w:val="nil"/>
            </w:tcBorders>
          </w:tcPr>
          <w:p w:rsidR="00FD6FB5" w:rsidRDefault="00FD6FB5">
            <w:pPr>
              <w:rPr>
                <w:color w:val="0000FF"/>
              </w:rPr>
            </w:pPr>
            <w:r>
              <w:rPr>
                <w:color w:val="0000FF"/>
              </w:rPr>
              <w:t>[  ]</w:t>
            </w:r>
            <w:r>
              <w:t xml:space="preserve"> </w:t>
            </w:r>
            <w:r>
              <w:rPr>
                <w:rFonts w:cs="Arial"/>
                <w:sz w:val="26"/>
                <w:szCs w:val="26"/>
              </w:rPr>
              <w:t>°</w:t>
            </w:r>
            <w:r>
              <w:t>F</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 xml:space="preserve">Stack Exit Velocity: </w:t>
            </w:r>
          </w:p>
        </w:tc>
        <w:tc>
          <w:tcPr>
            <w:tcW w:w="5130" w:type="dxa"/>
            <w:tcBorders>
              <w:top w:val="nil"/>
              <w:left w:val="nil"/>
              <w:bottom w:val="nil"/>
              <w:right w:val="nil"/>
            </w:tcBorders>
          </w:tcPr>
          <w:p w:rsidR="00FD6FB5" w:rsidRDefault="00FD6FB5">
            <w:r>
              <w:rPr>
                <w:color w:val="0000FF"/>
              </w:rPr>
              <w:t>[  ] fps or fpm</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 xml:space="preserve">Destruction Efficiency: </w:t>
            </w:r>
          </w:p>
        </w:tc>
        <w:tc>
          <w:tcPr>
            <w:tcW w:w="5130" w:type="dxa"/>
            <w:tcBorders>
              <w:top w:val="nil"/>
              <w:left w:val="nil"/>
              <w:bottom w:val="nil"/>
              <w:right w:val="nil"/>
            </w:tcBorders>
          </w:tcPr>
          <w:p w:rsidR="00FD6FB5" w:rsidRDefault="00FD6FB5">
            <w:pPr>
              <w:suppressAutoHyphens/>
              <w:rPr>
                <w:b/>
                <w:spacing w:val="-3"/>
                <w:sz w:val="20"/>
              </w:rPr>
            </w:pPr>
            <w:r>
              <w:rPr>
                <w:color w:val="0000FF"/>
                <w:spacing w:val="-3"/>
              </w:rPr>
              <w:t>[  ]</w:t>
            </w:r>
            <w:r>
              <w:rPr>
                <w:color w:val="FF0000"/>
                <w:spacing w:val="-3"/>
              </w:rPr>
              <w:t xml:space="preserve"> </w:t>
            </w:r>
            <w:r>
              <w:rPr>
                <w:spacing w:val="-3"/>
              </w:rPr>
              <w:t>% (</w:t>
            </w:r>
            <w:r>
              <w:rPr>
                <w:spacing w:val="-2"/>
                <w:sz w:val="20"/>
              </w:rPr>
              <w:t>District BACT requirement: 95%)</w:t>
            </w:r>
          </w:p>
        </w:tc>
      </w:tr>
    </w:tbl>
    <w:p w:rsidR="00FD6FB5" w:rsidRDefault="00FD6FB5">
      <w:pPr>
        <w:tabs>
          <w:tab w:val="right" w:pos="3780"/>
        </w:tabs>
        <w:suppressAutoHyphens/>
        <w:jc w:val="both"/>
        <w:rPr>
          <w:spacing w:val="-3"/>
        </w:rPr>
      </w:pPr>
    </w:p>
    <w:p w:rsidR="00FD6FB5" w:rsidRDefault="00FD6FB5">
      <w:pPr>
        <w:suppressAutoHyphens/>
        <w:ind w:firstLine="720"/>
        <w:jc w:val="both"/>
        <w:rPr>
          <w:bCs/>
          <w:spacing w:val="-3"/>
          <w:u w:val="single"/>
        </w:rPr>
      </w:pPr>
      <w:r>
        <w:rPr>
          <w:bCs/>
          <w:spacing w:val="-3"/>
          <w:u w:val="single"/>
        </w:rPr>
        <w:t>Catalytic Converter:</w:t>
      </w:r>
    </w:p>
    <w:p w:rsidR="00FD6FB5" w:rsidRDefault="00FD6FB5">
      <w:pPr>
        <w:tabs>
          <w:tab w:val="left" w:pos="-1440"/>
          <w:tab w:val="left" w:pos="-720"/>
          <w:tab w:val="right" w:pos="3780"/>
        </w:tabs>
        <w:suppressAutoHyphens/>
        <w:jc w:val="both"/>
        <w:rPr>
          <w:spacing w:val="-3"/>
        </w:rPr>
      </w:pPr>
      <w:r>
        <w:rPr>
          <w:spacing w:val="-3"/>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130"/>
      </w:tblGrid>
      <w:tr w:rsidR="00FD6FB5">
        <w:tc>
          <w:tcPr>
            <w:tcW w:w="3420" w:type="dxa"/>
            <w:tcBorders>
              <w:top w:val="nil"/>
              <w:left w:val="nil"/>
              <w:bottom w:val="nil"/>
              <w:right w:val="nil"/>
            </w:tcBorders>
          </w:tcPr>
          <w:p w:rsidR="00FD6FB5" w:rsidRDefault="00FD6FB5">
            <w:pPr>
              <w:suppressAutoHyphens/>
              <w:jc w:val="right"/>
              <w:rPr>
                <w:spacing w:val="-3"/>
              </w:rPr>
            </w:pPr>
            <w:r>
              <w:rPr>
                <w:spacing w:val="-3"/>
              </w:rPr>
              <w:lastRenderedPageBreak/>
              <w:t xml:space="preserve">Manufacturer: </w:t>
            </w:r>
          </w:p>
        </w:tc>
        <w:tc>
          <w:tcPr>
            <w:tcW w:w="5130" w:type="dxa"/>
            <w:tcBorders>
              <w:top w:val="nil"/>
              <w:left w:val="nil"/>
              <w:bottom w:val="nil"/>
              <w:right w:val="nil"/>
            </w:tcBorders>
          </w:tcPr>
          <w:p w:rsidR="00FD6FB5" w:rsidRDefault="00FD6FB5">
            <w:pPr>
              <w:suppressAutoHyphens/>
              <w:rPr>
                <w:spacing w:val="-3"/>
              </w:rPr>
            </w:pPr>
            <w:r>
              <w:rPr>
                <w:color w:val="0000FF"/>
              </w:rPr>
              <w:t>[  ]</w:t>
            </w:r>
          </w:p>
        </w:tc>
      </w:tr>
      <w:tr w:rsidR="00FD6FB5">
        <w:tc>
          <w:tcPr>
            <w:tcW w:w="3420" w:type="dxa"/>
            <w:tcBorders>
              <w:top w:val="nil"/>
              <w:left w:val="nil"/>
              <w:bottom w:val="nil"/>
              <w:right w:val="nil"/>
            </w:tcBorders>
          </w:tcPr>
          <w:p w:rsidR="00FD6FB5" w:rsidRDefault="00FD6FB5">
            <w:pPr>
              <w:suppressAutoHyphens/>
              <w:jc w:val="right"/>
              <w:rPr>
                <w:spacing w:val="-3"/>
              </w:rPr>
            </w:pPr>
            <w:r>
              <w:rPr>
                <w:spacing w:val="-3"/>
              </w:rPr>
              <w:t>Model #:</w:t>
            </w:r>
          </w:p>
        </w:tc>
        <w:tc>
          <w:tcPr>
            <w:tcW w:w="5130" w:type="dxa"/>
            <w:tcBorders>
              <w:top w:val="nil"/>
              <w:left w:val="nil"/>
              <w:bottom w:val="nil"/>
              <w:right w:val="nil"/>
            </w:tcBorders>
          </w:tcPr>
          <w:p w:rsidR="00FD6FB5" w:rsidRDefault="00FD6FB5">
            <w:pPr>
              <w:suppressAutoHyphens/>
              <w:rPr>
                <w:spacing w:val="-3"/>
              </w:rPr>
            </w:pPr>
            <w:r>
              <w:rPr>
                <w:color w:val="0000FF"/>
              </w:rPr>
              <w:t>[  ]</w:t>
            </w:r>
            <w:r>
              <w:rPr>
                <w:color w:val="0000FF"/>
                <w:spacing w:val="-3"/>
              </w:rPr>
              <w:t xml:space="preserve"> </w:t>
            </w:r>
          </w:p>
        </w:tc>
      </w:tr>
    </w:tbl>
    <w:p w:rsidR="00FD6FB5" w:rsidRDefault="00FD6FB5">
      <w:pPr>
        <w:tabs>
          <w:tab w:val="right" w:pos="3780"/>
        </w:tabs>
        <w:suppressAutoHyphens/>
        <w:jc w:val="both"/>
        <w:rPr>
          <w:spacing w:val="-3"/>
        </w:rPr>
      </w:pPr>
    </w:p>
    <w:p w:rsidR="00FD6FB5" w:rsidRDefault="00FD6FB5">
      <w:pPr>
        <w:suppressAutoHyphens/>
        <w:jc w:val="both"/>
        <w:rPr>
          <w:spacing w:val="-3"/>
        </w:rPr>
      </w:pPr>
      <w:r>
        <w:rPr>
          <w:b/>
          <w:spacing w:val="-3"/>
        </w:rPr>
        <w:tab/>
      </w:r>
      <w:r>
        <w:rPr>
          <w:spacing w:val="-3"/>
          <w:u w:val="single"/>
        </w:rPr>
        <w:t>Extraction Blower/Motor</w:t>
      </w:r>
      <w:r>
        <w:rPr>
          <w:spacing w:val="-3"/>
        </w:rPr>
        <w:t>:</w:t>
      </w:r>
    </w:p>
    <w:p w:rsidR="00FD6FB5" w:rsidRDefault="00FD6FB5">
      <w:pPr>
        <w:tabs>
          <w:tab w:val="right" w:pos="3780"/>
        </w:tabs>
        <w:suppressAutoHyphens/>
        <w:jc w:val="both"/>
        <w:rPr>
          <w:spacing w:val="-3"/>
        </w:rPr>
      </w:pPr>
      <w:r>
        <w:rPr>
          <w:spacing w:val="-3"/>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5688"/>
      </w:tblGrid>
      <w:tr w:rsidR="00FD6FB5">
        <w:tc>
          <w:tcPr>
            <w:tcW w:w="2952" w:type="dxa"/>
            <w:tcBorders>
              <w:top w:val="nil"/>
              <w:left w:val="nil"/>
              <w:bottom w:val="nil"/>
              <w:right w:val="nil"/>
            </w:tcBorders>
          </w:tcPr>
          <w:p w:rsidR="00FD6FB5" w:rsidRDefault="00FD6FB5">
            <w:pPr>
              <w:suppressAutoHyphens/>
              <w:jc w:val="right"/>
              <w:rPr>
                <w:spacing w:val="-3"/>
              </w:rPr>
            </w:pPr>
            <w:r>
              <w:rPr>
                <w:spacing w:val="-3"/>
              </w:rPr>
              <w:t xml:space="preserve">Manufacturer: </w:t>
            </w:r>
          </w:p>
        </w:tc>
        <w:tc>
          <w:tcPr>
            <w:tcW w:w="5688" w:type="dxa"/>
            <w:tcBorders>
              <w:top w:val="nil"/>
              <w:left w:val="nil"/>
              <w:bottom w:val="nil"/>
              <w:right w:val="nil"/>
            </w:tcBorders>
          </w:tcPr>
          <w:p w:rsidR="00FD6FB5" w:rsidRDefault="00FD6FB5">
            <w:pPr>
              <w:pStyle w:val="FootnoteText"/>
              <w:suppressAutoHyphens/>
              <w:rPr>
                <w:rFonts w:ascii="Arial" w:hAnsi="Arial"/>
                <w:color w:val="0000FF"/>
                <w:spacing w:val="-3"/>
              </w:rPr>
            </w:pPr>
            <w:r>
              <w:rPr>
                <w:rFonts w:ascii="Arial" w:hAnsi="Arial"/>
                <w:color w:val="0000FF"/>
                <w:spacing w:val="-3"/>
              </w:rPr>
              <w:t>[  ]</w:t>
            </w:r>
          </w:p>
        </w:tc>
      </w:tr>
      <w:tr w:rsidR="00FD6FB5">
        <w:tc>
          <w:tcPr>
            <w:tcW w:w="2952" w:type="dxa"/>
            <w:tcBorders>
              <w:top w:val="nil"/>
              <w:left w:val="nil"/>
              <w:bottom w:val="nil"/>
              <w:right w:val="nil"/>
            </w:tcBorders>
          </w:tcPr>
          <w:p w:rsidR="00FD6FB5" w:rsidRDefault="00FD6FB5">
            <w:pPr>
              <w:suppressAutoHyphens/>
              <w:jc w:val="right"/>
              <w:rPr>
                <w:spacing w:val="-3"/>
              </w:rPr>
            </w:pPr>
            <w:r>
              <w:rPr>
                <w:spacing w:val="-3"/>
              </w:rPr>
              <w:t xml:space="preserve">Model #: </w:t>
            </w:r>
          </w:p>
        </w:tc>
        <w:tc>
          <w:tcPr>
            <w:tcW w:w="5688" w:type="dxa"/>
            <w:tcBorders>
              <w:top w:val="nil"/>
              <w:left w:val="nil"/>
              <w:bottom w:val="nil"/>
              <w:right w:val="nil"/>
            </w:tcBorders>
          </w:tcPr>
          <w:p w:rsidR="00FD6FB5" w:rsidRDefault="00FD6FB5">
            <w:pPr>
              <w:suppressAutoHyphens/>
              <w:rPr>
                <w:color w:val="0000FF"/>
                <w:spacing w:val="-3"/>
              </w:rPr>
            </w:pPr>
            <w:r>
              <w:rPr>
                <w:color w:val="0000FF"/>
                <w:spacing w:val="-3"/>
              </w:rPr>
              <w:t>[  ]</w:t>
            </w:r>
          </w:p>
        </w:tc>
      </w:tr>
      <w:tr w:rsidR="00FD6FB5">
        <w:tc>
          <w:tcPr>
            <w:tcW w:w="2952" w:type="dxa"/>
            <w:tcBorders>
              <w:top w:val="nil"/>
              <w:left w:val="nil"/>
              <w:bottom w:val="nil"/>
              <w:right w:val="nil"/>
            </w:tcBorders>
          </w:tcPr>
          <w:p w:rsidR="00FD6FB5" w:rsidRDefault="00FD6FB5">
            <w:pPr>
              <w:suppressAutoHyphens/>
              <w:jc w:val="right"/>
              <w:rPr>
                <w:spacing w:val="-3"/>
              </w:rPr>
            </w:pPr>
            <w:r>
              <w:rPr>
                <w:spacing w:val="-3"/>
              </w:rPr>
              <w:t xml:space="preserve">Power Rating: </w:t>
            </w:r>
          </w:p>
        </w:tc>
        <w:tc>
          <w:tcPr>
            <w:tcW w:w="5688" w:type="dxa"/>
            <w:tcBorders>
              <w:top w:val="nil"/>
              <w:left w:val="nil"/>
              <w:bottom w:val="nil"/>
              <w:right w:val="nil"/>
            </w:tcBorders>
          </w:tcPr>
          <w:p w:rsidR="00FD6FB5" w:rsidRDefault="00FD6FB5">
            <w:pPr>
              <w:suppressAutoHyphens/>
              <w:rPr>
                <w:color w:val="0000FF"/>
                <w:spacing w:val="-3"/>
              </w:rPr>
            </w:pPr>
            <w:r>
              <w:rPr>
                <w:color w:val="0000FF"/>
                <w:spacing w:val="-3"/>
              </w:rPr>
              <w:t>[  ]</w:t>
            </w:r>
            <w:r w:rsidR="008B2F73">
              <w:rPr>
                <w:color w:val="0000FF"/>
                <w:spacing w:val="-3"/>
              </w:rPr>
              <w:t xml:space="preserve"> bhp</w:t>
            </w:r>
          </w:p>
        </w:tc>
      </w:tr>
    </w:tbl>
    <w:p w:rsidR="00FD6FB5" w:rsidRDefault="00FD6FB5">
      <w:pPr>
        <w:suppressAutoHyphens/>
        <w:jc w:val="both"/>
        <w:rPr>
          <w:spacing w:val="-3"/>
        </w:rPr>
      </w:pPr>
    </w:p>
    <w:p w:rsidR="00FD6FB5" w:rsidRDefault="00FD6FB5">
      <w:pPr>
        <w:suppressAutoHyphens/>
        <w:ind w:left="720"/>
        <w:jc w:val="both"/>
        <w:rPr>
          <w:spacing w:val="-3"/>
        </w:rPr>
      </w:pPr>
      <w:r>
        <w:rPr>
          <w:color w:val="0000FF"/>
          <w:spacing w:val="-3"/>
        </w:rPr>
        <w:t>C-xxxx-x-x: SOIL [AND GROUNDWATER] REMEDIATION PROJECT SERVED BY A [</w:t>
      </w:r>
      <w:r w:rsidRPr="007876F9">
        <w:rPr>
          <w:color w:val="0000FF"/>
          <w:spacing w:val="-3"/>
        </w:rPr>
        <w:t>MANUFACTURER A</w:t>
      </w:r>
      <w:r>
        <w:rPr>
          <w:color w:val="0000FF"/>
          <w:spacing w:val="-3"/>
        </w:rPr>
        <w:t xml:space="preserve">ND MODEL #] </w:t>
      </w:r>
      <w:r w:rsidR="00C45E26">
        <w:rPr>
          <w:color w:val="0000FF"/>
          <w:spacing w:val="-3"/>
        </w:rPr>
        <w:t xml:space="preserve">[XXX] BHP </w:t>
      </w:r>
      <w:r>
        <w:rPr>
          <w:color w:val="0000FF"/>
          <w:spacing w:val="-3"/>
        </w:rPr>
        <w:t>NATURAL GAS/LPG-FIRED INTERNAL COM</w:t>
      </w:r>
      <w:r w:rsidR="007876F9">
        <w:rPr>
          <w:color w:val="0000FF"/>
          <w:spacing w:val="-3"/>
        </w:rPr>
        <w:t>BUSTION ENGINE WITH [QTY]</w:t>
      </w:r>
      <w:r w:rsidR="000A1AC6">
        <w:rPr>
          <w:color w:val="0000FF"/>
          <w:spacing w:val="-3"/>
        </w:rPr>
        <w:t xml:space="preserve"> </w:t>
      </w:r>
      <w:r>
        <w:rPr>
          <w:color w:val="0000FF"/>
          <w:spacing w:val="-3"/>
        </w:rPr>
        <w:t xml:space="preserve">[MANUFACTURER AND MODEL #] </w:t>
      </w:r>
      <w:r w:rsidR="00C45E26">
        <w:rPr>
          <w:color w:val="0000FF"/>
          <w:spacing w:val="-3"/>
        </w:rPr>
        <w:t xml:space="preserve">3-WAY </w:t>
      </w:r>
      <w:r>
        <w:rPr>
          <w:color w:val="0000FF"/>
          <w:spacing w:val="-3"/>
        </w:rPr>
        <w:t>CATALYTIC CONVERTER</w:t>
      </w:r>
      <w:r w:rsidR="000A1AC6">
        <w:rPr>
          <w:color w:val="0000FF"/>
          <w:spacing w:val="-3"/>
        </w:rPr>
        <w:t>(S) IN SERIES))</w:t>
      </w:r>
    </w:p>
    <w:p w:rsidR="00FD6FB5" w:rsidRDefault="00FD6FB5">
      <w:pPr>
        <w:suppressAutoHyphens/>
        <w:jc w:val="both"/>
        <w:rPr>
          <w:spacing w:val="-3"/>
        </w:rPr>
      </w:pPr>
    </w:p>
    <w:p w:rsidR="00FD6FB5" w:rsidRDefault="00FD6FB5">
      <w:pPr>
        <w:pStyle w:val="Heading4"/>
      </w:pPr>
      <w:r>
        <w:t>VI.</w:t>
      </w:r>
      <w:r>
        <w:tab/>
      </w:r>
      <w:r>
        <w:rPr>
          <w:u w:val="single"/>
        </w:rPr>
        <w:t>Emission Control Technology Evaluation</w:t>
      </w:r>
    </w:p>
    <w:p w:rsidR="00FD6FB5" w:rsidRDefault="00FD6FB5">
      <w:pPr>
        <w:suppressAutoHyphens/>
        <w:jc w:val="both"/>
        <w:rPr>
          <w:spacing w:val="-3"/>
        </w:rPr>
      </w:pPr>
    </w:p>
    <w:p w:rsidR="00FD6FB5" w:rsidRDefault="00FD6FB5">
      <w:pPr>
        <w:suppressAutoHyphens/>
        <w:ind w:firstLine="720"/>
        <w:jc w:val="both"/>
        <w:rPr>
          <w:spacing w:val="-3"/>
          <w:u w:val="single"/>
        </w:rPr>
      </w:pPr>
      <w:r>
        <w:rPr>
          <w:spacing w:val="-3"/>
          <w:u w:val="single"/>
        </w:rPr>
        <w:t>IC Engine</w:t>
      </w:r>
    </w:p>
    <w:p w:rsidR="00FD6FB5" w:rsidRDefault="00FD6FB5">
      <w:pPr>
        <w:suppressAutoHyphens/>
        <w:ind w:left="720" w:hanging="720"/>
        <w:jc w:val="both"/>
      </w:pPr>
    </w:p>
    <w:p w:rsidR="00FD6FB5" w:rsidRDefault="00FD6FB5">
      <w:pPr>
        <w:suppressAutoHyphens/>
        <w:ind w:left="720" w:hanging="720"/>
        <w:jc w:val="both"/>
        <w:rPr>
          <w:spacing w:val="-3"/>
        </w:rPr>
      </w:pPr>
      <w:r>
        <w:rPr>
          <w:spacing w:val="-3"/>
        </w:rPr>
        <w:tab/>
        <w:t xml:space="preserve">The engine control equipment consists of </w:t>
      </w:r>
      <w:r w:rsidR="00C45E26">
        <w:rPr>
          <w:color w:val="0000FF"/>
          <w:spacing w:val="-3"/>
        </w:rPr>
        <w:t>[QTY]</w:t>
      </w:r>
      <w:r>
        <w:rPr>
          <w:color w:val="0000FF"/>
          <w:spacing w:val="-3"/>
        </w:rPr>
        <w:t xml:space="preserve"> Manufacturer and Model #</w:t>
      </w:r>
      <w:r>
        <w:rPr>
          <w:spacing w:val="-3"/>
        </w:rPr>
        <w:t xml:space="preserve"> catalytic converter</w:t>
      </w:r>
      <w:r w:rsidR="00C45E26" w:rsidRPr="007876F9">
        <w:rPr>
          <w:color w:val="0000FF"/>
          <w:spacing w:val="-3"/>
        </w:rPr>
        <w:t>(</w:t>
      </w:r>
      <w:r w:rsidRPr="007876F9">
        <w:rPr>
          <w:color w:val="0000FF"/>
          <w:spacing w:val="-3"/>
        </w:rPr>
        <w:t>s</w:t>
      </w:r>
      <w:r w:rsidR="000A1AC6">
        <w:rPr>
          <w:color w:val="0000FF"/>
          <w:spacing w:val="-3"/>
        </w:rPr>
        <w:t>)</w:t>
      </w:r>
      <w:r w:rsidRPr="007876F9">
        <w:rPr>
          <w:color w:val="0000FF"/>
          <w:spacing w:val="-3"/>
        </w:rPr>
        <w:t xml:space="preserve"> in series</w:t>
      </w:r>
      <w:r w:rsidR="000A1AC6">
        <w:rPr>
          <w:color w:val="0000FF"/>
          <w:spacing w:val="-3"/>
        </w:rPr>
        <w:t>)</w:t>
      </w:r>
      <w:r w:rsidR="00C45E26" w:rsidRPr="007876F9">
        <w:rPr>
          <w:color w:val="0000FF"/>
          <w:spacing w:val="-3"/>
        </w:rPr>
        <w:t>)</w:t>
      </w:r>
      <w:r>
        <w:rPr>
          <w:spacing w:val="-3"/>
        </w:rPr>
        <w:t>.  The figures provided by the manufacturer as shown in Section VII.B represent the control efficiency of the catalytic converter</w:t>
      </w:r>
      <w:r w:rsidR="00C45E26" w:rsidRPr="000A1AC6">
        <w:rPr>
          <w:color w:val="0000FF"/>
          <w:spacing w:val="-3"/>
        </w:rPr>
        <w:t>(</w:t>
      </w:r>
      <w:r w:rsidRPr="000A1AC6">
        <w:rPr>
          <w:color w:val="0000FF"/>
          <w:spacing w:val="-3"/>
        </w:rPr>
        <w:t>s</w:t>
      </w:r>
      <w:r w:rsidR="000A1AC6" w:rsidRPr="000A1AC6">
        <w:rPr>
          <w:color w:val="0000FF"/>
          <w:spacing w:val="-3"/>
        </w:rPr>
        <w:t>)</w:t>
      </w:r>
      <w:r w:rsidRPr="000A1AC6">
        <w:rPr>
          <w:color w:val="0000FF"/>
          <w:spacing w:val="-3"/>
        </w:rPr>
        <w:t xml:space="preserve"> in series</w:t>
      </w:r>
      <w:r w:rsidR="000A1AC6" w:rsidRPr="000A1AC6">
        <w:rPr>
          <w:color w:val="0000FF"/>
          <w:spacing w:val="-3"/>
        </w:rPr>
        <w:t>)</w:t>
      </w:r>
      <w:r w:rsidR="00C45E26" w:rsidRPr="000A1AC6">
        <w:rPr>
          <w:color w:val="0000FF"/>
          <w:spacing w:val="-3"/>
        </w:rPr>
        <w:t>)</w:t>
      </w:r>
      <w:r>
        <w:rPr>
          <w:spacing w:val="-3"/>
        </w:rPr>
        <w:t>.</w:t>
      </w:r>
    </w:p>
    <w:p w:rsidR="00FD6FB5" w:rsidRDefault="00FD6FB5">
      <w:pPr>
        <w:suppressAutoHyphens/>
        <w:ind w:left="720" w:hanging="720"/>
        <w:rPr>
          <w:spacing w:val="-3"/>
        </w:rPr>
      </w:pPr>
    </w:p>
    <w:p w:rsidR="00FD6FB5" w:rsidRDefault="00FD6FB5">
      <w:pPr>
        <w:pStyle w:val="Heading4"/>
        <w:rPr>
          <w:spacing w:val="0"/>
          <w:u w:val="single"/>
        </w:rPr>
      </w:pPr>
      <w:r>
        <w:rPr>
          <w:spacing w:val="0"/>
        </w:rPr>
        <w:t>VII.</w:t>
      </w:r>
      <w:r>
        <w:rPr>
          <w:spacing w:val="0"/>
        </w:rPr>
        <w:tab/>
      </w:r>
      <w:r>
        <w:rPr>
          <w:spacing w:val="0"/>
          <w:u w:val="single"/>
        </w:rPr>
        <w:t>Emissions Calculations</w:t>
      </w:r>
    </w:p>
    <w:p w:rsidR="00FD6FB5" w:rsidRDefault="00FD6FB5">
      <w:pPr>
        <w:suppressAutoHyphens/>
        <w:jc w:val="both"/>
        <w:rPr>
          <w:spacing w:val="-3"/>
          <w:u w:val="single"/>
        </w:rPr>
      </w:pPr>
    </w:p>
    <w:p w:rsidR="00FD6FB5" w:rsidRDefault="00FD6FB5">
      <w:pPr>
        <w:pStyle w:val="Heading6"/>
        <w:ind w:left="990" w:hanging="450"/>
        <w:rPr>
          <w:color w:val="000000"/>
        </w:rPr>
      </w:pPr>
      <w:r>
        <w:t>A.</w:t>
      </w:r>
      <w:r>
        <w:tab/>
        <w:t>Assumptions</w:t>
      </w:r>
    </w:p>
    <w:p w:rsidR="00FD6FB5" w:rsidRDefault="00FD6FB5">
      <w:pPr>
        <w:suppressAutoHyphens/>
        <w:jc w:val="both"/>
        <w:rPr>
          <w:spacing w:val="-3"/>
          <w:vertAlign w:val="superscript"/>
        </w:rPr>
      </w:pPr>
    </w:p>
    <w:p w:rsidR="00FD6FB5" w:rsidRDefault="00FD6FB5">
      <w:pPr>
        <w:numPr>
          <w:ilvl w:val="0"/>
          <w:numId w:val="24"/>
        </w:numPr>
        <w:tabs>
          <w:tab w:val="left" w:pos="-720"/>
          <w:tab w:val="left" w:pos="0"/>
          <w:tab w:val="left" w:pos="720"/>
          <w:tab w:val="left" w:pos="2160"/>
          <w:tab w:val="left" w:pos="2880"/>
          <w:tab w:val="left" w:pos="3600"/>
          <w:tab w:val="left" w:pos="4320"/>
        </w:tabs>
        <w:suppressAutoHyphens/>
        <w:rPr>
          <w:rFonts w:cs="Arial"/>
          <w:spacing w:val="-3"/>
        </w:rPr>
      </w:pPr>
      <w:r>
        <w:rPr>
          <w:rFonts w:cs="Arial"/>
          <w:spacing w:val="-3"/>
        </w:rPr>
        <w:t>Gasoline heating value:</w:t>
      </w:r>
      <w:r>
        <w:rPr>
          <w:rFonts w:cs="Arial"/>
          <w:spacing w:val="-3"/>
        </w:rPr>
        <w:tab/>
      </w:r>
      <w:r>
        <w:rPr>
          <w:rFonts w:cs="Arial"/>
          <w:spacing w:val="-3"/>
        </w:rPr>
        <w:tab/>
        <w:t>20,300 Btu/lb</w:t>
      </w:r>
      <w:bookmarkStart w:id="3" w:name="_Ref54077833"/>
      <w:r>
        <w:rPr>
          <w:rStyle w:val="FootnoteReference"/>
          <w:rFonts w:cs="Arial"/>
          <w:spacing w:val="-3"/>
        </w:rPr>
        <w:footnoteReference w:id="1"/>
      </w:r>
      <w:bookmarkEnd w:id="3"/>
    </w:p>
    <w:p w:rsidR="00FD6FB5" w:rsidRDefault="00FD6FB5">
      <w:pPr>
        <w:numPr>
          <w:ilvl w:val="0"/>
          <w:numId w:val="24"/>
        </w:numPr>
        <w:tabs>
          <w:tab w:val="left" w:pos="-720"/>
          <w:tab w:val="left" w:pos="0"/>
          <w:tab w:val="left" w:pos="720"/>
          <w:tab w:val="left" w:pos="2160"/>
          <w:tab w:val="left" w:pos="2880"/>
          <w:tab w:val="left" w:pos="3600"/>
          <w:tab w:val="left" w:pos="4320"/>
        </w:tabs>
        <w:suppressAutoHyphens/>
        <w:rPr>
          <w:rFonts w:cs="Arial"/>
          <w:spacing w:val="-3"/>
        </w:rPr>
      </w:pPr>
      <w:r>
        <w:rPr>
          <w:rFonts w:cs="Arial"/>
          <w:spacing w:val="-3"/>
        </w:rPr>
        <w:t>F-Factor for gasoline:</w:t>
      </w:r>
      <w:r>
        <w:rPr>
          <w:rFonts w:cs="Arial"/>
          <w:spacing w:val="-3"/>
        </w:rPr>
        <w:tab/>
      </w:r>
      <w:r>
        <w:rPr>
          <w:rFonts w:cs="Arial"/>
          <w:spacing w:val="-3"/>
        </w:rPr>
        <w:tab/>
        <w:t>8,850 dscf/MMBtu</w:t>
      </w:r>
      <w:r>
        <w:rPr>
          <w:rStyle w:val="FootnoteReference"/>
          <w:rFonts w:cs="Arial"/>
          <w:spacing w:val="-3"/>
        </w:rPr>
        <w:footnoteReference w:id="2"/>
      </w:r>
    </w:p>
    <w:p w:rsidR="00FD6FB5" w:rsidRDefault="00FD6FB5">
      <w:pPr>
        <w:numPr>
          <w:ilvl w:val="0"/>
          <w:numId w:val="24"/>
        </w:numPr>
        <w:tabs>
          <w:tab w:val="left" w:pos="-720"/>
          <w:tab w:val="left" w:pos="0"/>
          <w:tab w:val="left" w:pos="720"/>
          <w:tab w:val="left" w:pos="2160"/>
          <w:tab w:val="left" w:pos="2880"/>
          <w:tab w:val="left" w:pos="3600"/>
          <w:tab w:val="left" w:pos="4320"/>
        </w:tabs>
        <w:suppressAutoHyphens/>
        <w:rPr>
          <w:spacing w:val="-3"/>
        </w:rPr>
      </w:pPr>
      <w:r>
        <w:rPr>
          <w:spacing w:val="-3"/>
        </w:rPr>
        <w:t>Brake Specific Fuel Consumption (BSFC) of a naturally aspirated, spark ignition engine:</w:t>
      </w:r>
      <w:r>
        <w:rPr>
          <w:spacing w:val="-3"/>
        </w:rPr>
        <w:tab/>
      </w:r>
      <w:r>
        <w:rPr>
          <w:spacing w:val="-3"/>
        </w:rPr>
        <w:tab/>
      </w:r>
      <w:r>
        <w:rPr>
          <w:spacing w:val="-3"/>
        </w:rPr>
        <w:tab/>
        <w:t>10,500 Btu/hp-hr</w:t>
      </w:r>
      <w:r>
        <w:rPr>
          <w:rStyle w:val="FootnoteReference"/>
          <w:spacing w:val="-3"/>
        </w:rPr>
        <w:footnoteReference w:id="3"/>
      </w:r>
    </w:p>
    <w:p w:rsidR="00FD6FB5" w:rsidRDefault="00FD6FB5">
      <w:pPr>
        <w:numPr>
          <w:ilvl w:val="0"/>
          <w:numId w:val="24"/>
        </w:numPr>
        <w:tabs>
          <w:tab w:val="left" w:pos="-720"/>
          <w:tab w:val="left" w:pos="0"/>
          <w:tab w:val="left" w:pos="720"/>
          <w:tab w:val="left" w:pos="2160"/>
          <w:tab w:val="left" w:pos="2880"/>
          <w:tab w:val="left" w:pos="3600"/>
          <w:tab w:val="left" w:pos="4320"/>
        </w:tabs>
        <w:suppressAutoHyphens/>
        <w:rPr>
          <w:rFonts w:cs="Arial"/>
          <w:spacing w:val="-3"/>
        </w:rPr>
      </w:pPr>
      <w:r>
        <w:rPr>
          <w:spacing w:val="-3"/>
        </w:rPr>
        <w:t xml:space="preserve">For calculation purposes a control efficiency of 95% will be used, since 95% is currently the </w:t>
      </w:r>
      <w:r>
        <w:rPr>
          <w:spacing w:val="-2"/>
        </w:rPr>
        <w:t>District’s minimum BACT requirement.</w:t>
      </w:r>
    </w:p>
    <w:p w:rsidR="00FD6FB5" w:rsidRDefault="00FD6FB5">
      <w:pPr>
        <w:numPr>
          <w:ilvl w:val="0"/>
          <w:numId w:val="24"/>
        </w:numPr>
        <w:suppressAutoHyphens/>
        <w:jc w:val="both"/>
        <w:rPr>
          <w:spacing w:val="-3"/>
        </w:rPr>
      </w:pPr>
      <w:r>
        <w:rPr>
          <w:spacing w:val="-3"/>
        </w:rPr>
        <w:t>Assume that the engine will run on 100% gasoline vapors for the entire length of the project.  This scenario represents the worst case.</w:t>
      </w:r>
    </w:p>
    <w:p w:rsidR="00FD6FB5" w:rsidRDefault="00FD6FB5">
      <w:pPr>
        <w:pStyle w:val="FootnoteText"/>
        <w:tabs>
          <w:tab w:val="left" w:pos="720"/>
          <w:tab w:val="left" w:pos="4770"/>
        </w:tabs>
        <w:suppressAutoHyphens/>
        <w:rPr>
          <w:rFonts w:ascii="Arial" w:hAnsi="Arial"/>
          <w:spacing w:val="-3"/>
        </w:rPr>
      </w:pPr>
    </w:p>
    <w:p w:rsidR="00FD6FB5" w:rsidRDefault="00FD6FB5">
      <w:pPr>
        <w:pStyle w:val="Heading6"/>
        <w:ind w:left="990" w:hanging="450"/>
        <w:rPr>
          <w:spacing w:val="0"/>
        </w:rPr>
      </w:pPr>
      <w:r>
        <w:rPr>
          <w:spacing w:val="0"/>
        </w:rPr>
        <w:t>B.</w:t>
      </w:r>
      <w:r>
        <w:rPr>
          <w:spacing w:val="0"/>
        </w:rPr>
        <w:tab/>
        <w:t>Emission Factors</w:t>
      </w:r>
    </w:p>
    <w:p w:rsidR="00FD6FB5" w:rsidRDefault="00FD6FB5">
      <w:pPr>
        <w:suppressAutoHyphens/>
        <w:jc w:val="both"/>
        <w:rPr>
          <w:spacing w:val="-3"/>
          <w:u w:val="single"/>
        </w:rPr>
      </w:pPr>
    </w:p>
    <w:p w:rsidR="00FD6FB5" w:rsidRDefault="00FD6FB5">
      <w:pPr>
        <w:pStyle w:val="FootnoteText"/>
        <w:ind w:left="540"/>
        <w:rPr>
          <w:rFonts w:ascii="Arial" w:hAnsi="Arial"/>
          <w:b/>
          <w:bCs/>
          <w:i/>
          <w:iCs/>
          <w:color w:val="FF0000"/>
        </w:rPr>
      </w:pPr>
      <w:r>
        <w:rPr>
          <w:rFonts w:ascii="Arial" w:hAnsi="Arial"/>
          <w:b/>
          <w:bCs/>
          <w:i/>
          <w:iCs/>
          <w:color w:val="FF0000"/>
        </w:rPr>
        <w:t>NOTE: If engine is subject to the emission limit requirements of Rule 470</w:t>
      </w:r>
      <w:r w:rsidR="000710BE">
        <w:rPr>
          <w:rFonts w:ascii="Arial" w:hAnsi="Arial"/>
          <w:b/>
          <w:bCs/>
          <w:i/>
          <w:iCs/>
          <w:color w:val="FF0000"/>
        </w:rPr>
        <w:t>2</w:t>
      </w:r>
      <w:r>
        <w:rPr>
          <w:rFonts w:ascii="Arial" w:hAnsi="Arial"/>
          <w:b/>
          <w:bCs/>
          <w:i/>
          <w:iCs/>
          <w:color w:val="FF0000"/>
        </w:rPr>
        <w:t xml:space="preserve"> Section</w:t>
      </w:r>
      <w:r w:rsidR="000710BE">
        <w:rPr>
          <w:rFonts w:ascii="Arial" w:hAnsi="Arial"/>
          <w:b/>
          <w:bCs/>
          <w:i/>
          <w:iCs/>
          <w:color w:val="FF0000"/>
        </w:rPr>
        <w:t>5.2 Tables 1 &amp; 2</w:t>
      </w:r>
      <w:r>
        <w:rPr>
          <w:rFonts w:ascii="Arial" w:hAnsi="Arial"/>
          <w:b/>
          <w:bCs/>
          <w:i/>
          <w:iCs/>
          <w:color w:val="FF0000"/>
        </w:rPr>
        <w:t xml:space="preserve">, make sure that those limits </w:t>
      </w:r>
      <w:r w:rsidR="000710BE">
        <w:rPr>
          <w:rFonts w:ascii="Arial" w:hAnsi="Arial"/>
          <w:b/>
          <w:bCs/>
          <w:i/>
          <w:iCs/>
          <w:color w:val="FF0000"/>
        </w:rPr>
        <w:t>will be</w:t>
      </w:r>
      <w:r>
        <w:rPr>
          <w:rFonts w:ascii="Arial" w:hAnsi="Arial"/>
          <w:b/>
          <w:bCs/>
          <w:i/>
          <w:iCs/>
          <w:color w:val="FF0000"/>
        </w:rPr>
        <w:t xml:space="preserve"> met.  Also let the applicant know that the engine is subject to those emission limits and the engine </w:t>
      </w:r>
      <w:r>
        <w:rPr>
          <w:rFonts w:ascii="Arial" w:hAnsi="Arial"/>
          <w:b/>
          <w:bCs/>
          <w:i/>
          <w:iCs/>
          <w:color w:val="FF0000"/>
        </w:rPr>
        <w:lastRenderedPageBreak/>
        <w:t>will have source testing and alternate monitoring requirements as well (Please look in the Compliance section under Rule 470</w:t>
      </w:r>
      <w:r w:rsidR="000710BE">
        <w:rPr>
          <w:rFonts w:ascii="Arial" w:hAnsi="Arial"/>
          <w:b/>
          <w:bCs/>
          <w:i/>
          <w:iCs/>
          <w:color w:val="FF0000"/>
        </w:rPr>
        <w:t>2</w:t>
      </w:r>
      <w:r>
        <w:rPr>
          <w:rFonts w:ascii="Arial" w:hAnsi="Arial"/>
          <w:b/>
          <w:bCs/>
          <w:i/>
          <w:iCs/>
          <w:color w:val="FF0000"/>
        </w:rPr>
        <w:t xml:space="preserve"> for more details).</w:t>
      </w:r>
    </w:p>
    <w:p w:rsidR="00FD6FB5" w:rsidRDefault="00FD6FB5">
      <w:pPr>
        <w:suppressAutoHyphens/>
        <w:jc w:val="both"/>
        <w:rPr>
          <w:spacing w:val="-3"/>
          <w:u w:val="single"/>
        </w:rPr>
      </w:pPr>
    </w:p>
    <w:p w:rsidR="00FD6FB5" w:rsidRDefault="00FD6FB5">
      <w:pPr>
        <w:suppressAutoHyphens/>
        <w:ind w:left="540"/>
        <w:jc w:val="both"/>
        <w:rPr>
          <w:spacing w:val="-3"/>
        </w:rPr>
      </w:pPr>
      <w:r>
        <w:rPr>
          <w:rFonts w:cs="Arial"/>
          <w:spacing w:val="-3"/>
          <w:szCs w:val="24"/>
        </w:rPr>
        <w:t>The following emission factors for NOx, CO, and PM</w:t>
      </w:r>
      <w:r>
        <w:rPr>
          <w:rFonts w:cs="Arial"/>
          <w:spacing w:val="-3"/>
          <w:szCs w:val="24"/>
          <w:vertAlign w:val="subscript"/>
        </w:rPr>
        <w:t>10</w:t>
      </w:r>
      <w:r>
        <w:rPr>
          <w:rFonts w:cs="Arial"/>
          <w:spacing w:val="-3"/>
          <w:szCs w:val="24"/>
        </w:rPr>
        <w:t xml:space="preserve"> are from AP-42 (10/96), Table 3.3-1 for gasoline combustion.</w:t>
      </w:r>
      <w:r>
        <w:rPr>
          <w:spacing w:val="-3"/>
        </w:rPr>
        <w:tab/>
      </w:r>
    </w:p>
    <w:p w:rsidR="00FD6FB5" w:rsidRDefault="00FD6FB5">
      <w:pPr>
        <w:suppressAutoHyphens/>
        <w:jc w:val="both"/>
        <w:rPr>
          <w:spacing w:val="-3"/>
        </w:rPr>
      </w:pPr>
    </w:p>
    <w:p w:rsidR="00FD6FB5" w:rsidRDefault="00FD6FB5">
      <w:pPr>
        <w:suppressAutoHyphens/>
        <w:jc w:val="both"/>
        <w:rPr>
          <w:spacing w:val="-3"/>
        </w:rPr>
      </w:pPr>
    </w:p>
    <w:p w:rsidR="00FD6FB5" w:rsidRDefault="00FD6FB5">
      <w:pPr>
        <w:suppressAutoHyphens/>
        <w:jc w:val="both"/>
        <w:rPr>
          <w:b/>
          <w:bCs/>
          <w:color w:val="FF0000"/>
          <w:spacing w:val="-3"/>
        </w:rPr>
      </w:pPr>
      <w:r>
        <w:rPr>
          <w:b/>
          <w:bCs/>
          <w:color w:val="FF0000"/>
          <w:spacing w:val="-3"/>
        </w:rPr>
        <w:t>NOTE: If applicant proposes a higher emission factor than the ones shown below, then change the tables below accordingly to reflect the proposed emission factors.  If the emission factors proposed are below the ones shown in the table below, then use the emission factors in the table.</w:t>
      </w:r>
    </w:p>
    <w:p w:rsidR="00D33ADF" w:rsidRDefault="00D33ADF">
      <w:pPr>
        <w:suppressAutoHyphens/>
        <w:jc w:val="both"/>
        <w:rPr>
          <w:b/>
          <w:bCs/>
          <w:color w:val="FF0000"/>
          <w:spacing w:val="-3"/>
        </w:rPr>
      </w:pPr>
    </w:p>
    <w:p w:rsidR="00FD6FB5" w:rsidRDefault="00FD6FB5">
      <w:pPr>
        <w:suppressAutoHyphens/>
        <w:jc w:val="both"/>
        <w:rPr>
          <w:b/>
          <w:bCs/>
          <w:color w:val="FF0000"/>
          <w:spacing w:val="-3"/>
        </w:rPr>
      </w:pPr>
      <w:r>
        <w:rPr>
          <w:b/>
          <w:bCs/>
          <w:color w:val="FF0000"/>
          <w:spacing w:val="-3"/>
        </w:rPr>
        <w:t>CAUTION:  If the engine is subject to Rule 470</w:t>
      </w:r>
      <w:r w:rsidR="00040B72">
        <w:rPr>
          <w:b/>
          <w:bCs/>
          <w:color w:val="FF0000"/>
          <w:spacing w:val="-3"/>
        </w:rPr>
        <w:t>2</w:t>
      </w:r>
      <w:r>
        <w:rPr>
          <w:b/>
          <w:bCs/>
          <w:color w:val="FF0000"/>
          <w:spacing w:val="-3"/>
        </w:rPr>
        <w:t xml:space="preserve"> and the proposed emission factors do not meet the Rule 470</w:t>
      </w:r>
      <w:r w:rsidR="00040B72">
        <w:rPr>
          <w:b/>
          <w:bCs/>
          <w:color w:val="FF0000"/>
          <w:spacing w:val="-3"/>
        </w:rPr>
        <w:t>2</w:t>
      </w:r>
      <w:r>
        <w:rPr>
          <w:b/>
          <w:bCs/>
          <w:color w:val="FF0000"/>
          <w:spacing w:val="-3"/>
        </w:rPr>
        <w:t xml:space="preserve"> limits (as shown in the Compliance section of Rule 470</w:t>
      </w:r>
      <w:r w:rsidR="00040B72">
        <w:rPr>
          <w:b/>
          <w:bCs/>
          <w:color w:val="FF0000"/>
          <w:spacing w:val="-3"/>
        </w:rPr>
        <w:t>2</w:t>
      </w:r>
      <w:r>
        <w:rPr>
          <w:b/>
          <w:bCs/>
          <w:color w:val="FF0000"/>
          <w:spacing w:val="-3"/>
        </w:rPr>
        <w:t>) then make sure that the applicant is notified and told that the engine does not meet the Rule emission limits.  The applicant must comply with the Rule limit prior to issuance of ATC.</w:t>
      </w:r>
    </w:p>
    <w:p w:rsidR="00FD6FB5" w:rsidRPr="007009EE" w:rsidRDefault="00FD6FB5">
      <w:pPr>
        <w:suppressAutoHyphens/>
        <w:jc w:val="both"/>
        <w:rPr>
          <w:spacing w:val="-3"/>
          <w:sz w:val="22"/>
          <w:szCs w:val="22"/>
        </w:rPr>
      </w:pPr>
    </w:p>
    <w:tbl>
      <w:tblPr>
        <w:tblW w:w="0" w:type="auto"/>
        <w:tblInd w:w="6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47"/>
        <w:gridCol w:w="2363"/>
        <w:gridCol w:w="3230"/>
      </w:tblGrid>
      <w:tr w:rsidR="00FD6FB5" w:rsidRPr="007009EE" w:rsidTr="006B0360">
        <w:trPr>
          <w:cantSplit/>
          <w:trHeight w:val="239"/>
        </w:trPr>
        <w:tc>
          <w:tcPr>
            <w:tcW w:w="7740" w:type="dxa"/>
            <w:gridSpan w:val="3"/>
            <w:tcBorders>
              <w:top w:val="double" w:sz="4" w:space="0" w:color="auto"/>
              <w:left w:val="double" w:sz="4" w:space="0" w:color="auto"/>
              <w:bottom w:val="double" w:sz="6" w:space="0" w:color="000000"/>
              <w:right w:val="double" w:sz="4" w:space="0" w:color="auto"/>
            </w:tcBorders>
            <w:shd w:val="clear" w:color="auto" w:fill="auto"/>
            <w:vAlign w:val="center"/>
          </w:tcPr>
          <w:p w:rsidR="00FD6FB5" w:rsidRPr="007009EE" w:rsidRDefault="00FD6FB5" w:rsidP="009A4D6E">
            <w:pPr>
              <w:suppressAutoHyphens/>
              <w:spacing w:before="40" w:after="40"/>
              <w:jc w:val="center"/>
              <w:rPr>
                <w:b/>
                <w:bCs/>
                <w:spacing w:val="-3"/>
                <w:sz w:val="22"/>
                <w:szCs w:val="22"/>
              </w:rPr>
            </w:pPr>
            <w:r w:rsidRPr="007009EE">
              <w:rPr>
                <w:b/>
                <w:bCs/>
                <w:spacing w:val="-3"/>
                <w:sz w:val="22"/>
                <w:szCs w:val="22"/>
              </w:rPr>
              <w:t>Emission Factors</w:t>
            </w:r>
            <w:r w:rsidR="00040B72" w:rsidRPr="007009EE">
              <w:rPr>
                <w:b/>
                <w:bCs/>
                <w:spacing w:val="-3"/>
                <w:sz w:val="22"/>
                <w:szCs w:val="22"/>
              </w:rPr>
              <w:t xml:space="preserve"> (Uncontrolled)</w:t>
            </w:r>
          </w:p>
        </w:tc>
      </w:tr>
      <w:tr w:rsidR="00FD6FB5" w:rsidRPr="007009EE" w:rsidTr="009B0D6C">
        <w:trPr>
          <w:trHeight w:val="290"/>
        </w:trPr>
        <w:tc>
          <w:tcPr>
            <w:tcW w:w="2147" w:type="dxa"/>
            <w:tcBorders>
              <w:top w:val="double" w:sz="6" w:space="0" w:color="000000"/>
              <w:bottom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Pollutant</w:t>
            </w:r>
          </w:p>
        </w:tc>
        <w:tc>
          <w:tcPr>
            <w:tcW w:w="2363" w:type="dxa"/>
            <w:tcBorders>
              <w:top w:val="double" w:sz="6" w:space="0" w:color="000000"/>
              <w:bottom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EF</w:t>
            </w:r>
            <w:r w:rsidRPr="007009EE">
              <w:rPr>
                <w:b/>
                <w:bCs/>
                <w:spacing w:val="-3"/>
                <w:sz w:val="22"/>
                <w:szCs w:val="22"/>
                <w:vertAlign w:val="subscript"/>
              </w:rPr>
              <w:t>(Gasoline)</w:t>
            </w:r>
            <w:r w:rsidRPr="007009EE">
              <w:rPr>
                <w:b/>
                <w:bCs/>
                <w:spacing w:val="-3"/>
                <w:sz w:val="22"/>
                <w:szCs w:val="22"/>
              </w:rPr>
              <w:t>(</w:t>
            </w:r>
            <w:r w:rsidR="008B2F73" w:rsidRPr="008B2F73">
              <w:rPr>
                <w:b/>
                <w:bCs/>
                <w:spacing w:val="-3"/>
                <w:sz w:val="22"/>
                <w:szCs w:val="22"/>
              </w:rPr>
              <w:t>lbs</w:t>
            </w:r>
            <w:r w:rsidRPr="007009EE">
              <w:rPr>
                <w:b/>
                <w:bCs/>
                <w:spacing w:val="-3"/>
                <w:sz w:val="22"/>
                <w:szCs w:val="22"/>
              </w:rPr>
              <w:t>/</w:t>
            </w:r>
            <w:r w:rsidR="00573152" w:rsidRPr="007009EE">
              <w:rPr>
                <w:b/>
                <w:bCs/>
                <w:spacing w:val="-3"/>
                <w:sz w:val="22"/>
                <w:szCs w:val="22"/>
              </w:rPr>
              <w:t>b</w:t>
            </w:r>
            <w:r w:rsidRPr="007009EE">
              <w:rPr>
                <w:b/>
                <w:bCs/>
                <w:spacing w:val="-3"/>
                <w:sz w:val="22"/>
                <w:szCs w:val="22"/>
              </w:rPr>
              <w:t>hp-hr)</w:t>
            </w:r>
          </w:p>
        </w:tc>
        <w:tc>
          <w:tcPr>
            <w:tcW w:w="3230" w:type="dxa"/>
            <w:tcBorders>
              <w:top w:val="double" w:sz="6" w:space="0" w:color="000000"/>
              <w:bottom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Basis</w:t>
            </w:r>
          </w:p>
        </w:tc>
      </w:tr>
      <w:tr w:rsidR="00FD6FB5" w:rsidRPr="007009EE" w:rsidTr="009B0D6C">
        <w:tc>
          <w:tcPr>
            <w:tcW w:w="2147" w:type="dxa"/>
            <w:tcBorders>
              <w:top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noProof/>
                <w:spacing w:val="-3"/>
                <w:sz w:val="22"/>
                <w:szCs w:val="22"/>
              </w:rPr>
              <w:t>NO</w:t>
            </w:r>
            <w:r w:rsidRPr="007009EE">
              <w:rPr>
                <w:noProof/>
                <w:spacing w:val="-3"/>
                <w:sz w:val="22"/>
                <w:szCs w:val="22"/>
                <w:vertAlign w:val="subscript"/>
              </w:rPr>
              <w:t>x</w:t>
            </w:r>
          </w:p>
        </w:tc>
        <w:tc>
          <w:tcPr>
            <w:tcW w:w="2363" w:type="dxa"/>
            <w:tcBorders>
              <w:top w:val="doub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0.011</w:t>
            </w:r>
          </w:p>
        </w:tc>
        <w:tc>
          <w:tcPr>
            <w:tcW w:w="3230" w:type="dxa"/>
            <w:tcBorders>
              <w:top w:val="doub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 xml:space="preserve">AP-42 Table 3.3-1 </w:t>
            </w:r>
            <w:r w:rsidRPr="007009EE">
              <w:rPr>
                <w:color w:val="FF0000"/>
                <w:spacing w:val="-3"/>
                <w:sz w:val="22"/>
                <w:szCs w:val="22"/>
              </w:rPr>
              <w:t xml:space="preserve">OR </w:t>
            </w:r>
            <w:r w:rsidRPr="007009EE">
              <w:rPr>
                <w:color w:val="0000FF"/>
                <w:spacing w:val="-3"/>
                <w:sz w:val="22"/>
                <w:szCs w:val="22"/>
              </w:rPr>
              <w:t xml:space="preserve">Controlled EF proposed by Applicant </w:t>
            </w:r>
          </w:p>
        </w:tc>
      </w:tr>
      <w:tr w:rsidR="00FD6FB5" w:rsidRPr="007009EE" w:rsidTr="009B0D6C">
        <w:tc>
          <w:tcPr>
            <w:tcW w:w="2147" w:type="dxa"/>
            <w:shd w:val="clear" w:color="auto" w:fill="auto"/>
            <w:vAlign w:val="center"/>
          </w:tcPr>
          <w:p w:rsidR="00FD6FB5" w:rsidRPr="007009EE" w:rsidRDefault="00FD6FB5">
            <w:pPr>
              <w:suppressAutoHyphens/>
              <w:jc w:val="center"/>
              <w:rPr>
                <w:spacing w:val="-3"/>
                <w:sz w:val="22"/>
                <w:szCs w:val="22"/>
              </w:rPr>
            </w:pPr>
            <w:r w:rsidRPr="007009EE">
              <w:rPr>
                <w:noProof/>
                <w:spacing w:val="-3"/>
                <w:sz w:val="22"/>
                <w:szCs w:val="22"/>
              </w:rPr>
              <w:t>SO</w:t>
            </w:r>
            <w:r w:rsidRPr="007009EE">
              <w:rPr>
                <w:noProof/>
                <w:spacing w:val="-3"/>
                <w:sz w:val="22"/>
                <w:szCs w:val="22"/>
                <w:vertAlign w:val="subscript"/>
              </w:rPr>
              <w:t>x</w:t>
            </w:r>
          </w:p>
        </w:tc>
        <w:tc>
          <w:tcPr>
            <w:tcW w:w="2363" w:type="dxa"/>
          </w:tcPr>
          <w:p w:rsidR="00FD6FB5" w:rsidRPr="007009EE" w:rsidRDefault="00FD6FB5" w:rsidP="009B0D6C">
            <w:pPr>
              <w:suppressAutoHyphens/>
              <w:jc w:val="center"/>
              <w:rPr>
                <w:spacing w:val="-3"/>
                <w:sz w:val="22"/>
                <w:szCs w:val="22"/>
              </w:rPr>
            </w:pPr>
            <w:r w:rsidRPr="007009EE">
              <w:rPr>
                <w:spacing w:val="-3"/>
                <w:sz w:val="22"/>
                <w:szCs w:val="22"/>
              </w:rPr>
              <w:t>0.</w:t>
            </w:r>
            <w:r w:rsidR="009B0D6C">
              <w:rPr>
                <w:spacing w:val="-3"/>
                <w:sz w:val="22"/>
                <w:szCs w:val="22"/>
              </w:rPr>
              <w:t>0001271</w:t>
            </w:r>
          </w:p>
        </w:tc>
        <w:tc>
          <w:tcPr>
            <w:tcW w:w="3230" w:type="dxa"/>
          </w:tcPr>
          <w:p w:rsidR="00FD6FB5" w:rsidRPr="007009EE" w:rsidRDefault="00A22732">
            <w:pPr>
              <w:suppressAutoHyphens/>
              <w:jc w:val="center"/>
              <w:rPr>
                <w:spacing w:val="-3"/>
                <w:sz w:val="22"/>
                <w:szCs w:val="22"/>
              </w:rPr>
            </w:pPr>
            <w:r>
              <w:rPr>
                <w:spacing w:val="-3"/>
                <w:sz w:val="22"/>
                <w:szCs w:val="22"/>
              </w:rPr>
              <w:t>Conservative CA sulfur content of 150 ppmw</w:t>
            </w:r>
          </w:p>
        </w:tc>
      </w:tr>
      <w:tr w:rsidR="00FD6FB5" w:rsidRPr="007009EE" w:rsidTr="009B0D6C">
        <w:tc>
          <w:tcPr>
            <w:tcW w:w="2147" w:type="dxa"/>
            <w:shd w:val="clear" w:color="auto" w:fill="auto"/>
            <w:vAlign w:val="center"/>
          </w:tcPr>
          <w:p w:rsidR="00FD6FB5" w:rsidRPr="007009EE" w:rsidRDefault="00FD6FB5">
            <w:pPr>
              <w:suppressAutoHyphens/>
              <w:jc w:val="center"/>
              <w:rPr>
                <w:spacing w:val="-3"/>
                <w:sz w:val="22"/>
                <w:szCs w:val="22"/>
              </w:rPr>
            </w:pPr>
            <w:r w:rsidRPr="007009EE">
              <w:rPr>
                <w:noProof/>
                <w:spacing w:val="-3"/>
                <w:sz w:val="22"/>
                <w:szCs w:val="22"/>
              </w:rPr>
              <w:t>PM</w:t>
            </w:r>
            <w:r w:rsidRPr="007009EE">
              <w:rPr>
                <w:noProof/>
                <w:spacing w:val="-3"/>
                <w:sz w:val="22"/>
                <w:szCs w:val="22"/>
                <w:vertAlign w:val="subscript"/>
              </w:rPr>
              <w:t>10</w:t>
            </w:r>
          </w:p>
        </w:tc>
        <w:tc>
          <w:tcPr>
            <w:tcW w:w="2363" w:type="dxa"/>
          </w:tcPr>
          <w:p w:rsidR="00FD6FB5" w:rsidRPr="007009EE" w:rsidRDefault="00FD6FB5">
            <w:pPr>
              <w:suppressAutoHyphens/>
              <w:jc w:val="center"/>
              <w:rPr>
                <w:spacing w:val="-3"/>
                <w:sz w:val="22"/>
                <w:szCs w:val="22"/>
              </w:rPr>
            </w:pPr>
            <w:r w:rsidRPr="007009EE">
              <w:rPr>
                <w:spacing w:val="-3"/>
                <w:sz w:val="22"/>
                <w:szCs w:val="22"/>
              </w:rPr>
              <w:t>0.000721</w:t>
            </w:r>
          </w:p>
        </w:tc>
        <w:tc>
          <w:tcPr>
            <w:tcW w:w="3230" w:type="dxa"/>
          </w:tcPr>
          <w:p w:rsidR="00FD6FB5" w:rsidRPr="007009EE" w:rsidRDefault="00FD6FB5">
            <w:pPr>
              <w:suppressAutoHyphens/>
              <w:jc w:val="center"/>
              <w:rPr>
                <w:spacing w:val="-3"/>
                <w:sz w:val="22"/>
                <w:szCs w:val="22"/>
              </w:rPr>
            </w:pPr>
            <w:r w:rsidRPr="007009EE">
              <w:rPr>
                <w:spacing w:val="-3"/>
                <w:sz w:val="22"/>
                <w:szCs w:val="22"/>
              </w:rPr>
              <w:t>AP-42 Table 3.3-1</w:t>
            </w:r>
          </w:p>
        </w:tc>
      </w:tr>
      <w:tr w:rsidR="00FD6FB5" w:rsidRPr="007009EE" w:rsidTr="009B0D6C">
        <w:tc>
          <w:tcPr>
            <w:tcW w:w="2147" w:type="dxa"/>
            <w:shd w:val="clear" w:color="auto" w:fill="auto"/>
            <w:vAlign w:val="center"/>
          </w:tcPr>
          <w:p w:rsidR="00FD6FB5" w:rsidRPr="007009EE" w:rsidRDefault="00FD6FB5">
            <w:pPr>
              <w:suppressAutoHyphens/>
              <w:jc w:val="center"/>
              <w:rPr>
                <w:noProof/>
                <w:spacing w:val="-3"/>
                <w:sz w:val="22"/>
                <w:szCs w:val="22"/>
              </w:rPr>
            </w:pPr>
            <w:r w:rsidRPr="007009EE">
              <w:rPr>
                <w:noProof/>
                <w:spacing w:val="-3"/>
                <w:sz w:val="22"/>
                <w:szCs w:val="22"/>
              </w:rPr>
              <w:t>CO</w:t>
            </w:r>
          </w:p>
        </w:tc>
        <w:tc>
          <w:tcPr>
            <w:tcW w:w="2363" w:type="dxa"/>
          </w:tcPr>
          <w:p w:rsidR="00FD6FB5" w:rsidRPr="007009EE" w:rsidRDefault="00FD6FB5">
            <w:pPr>
              <w:suppressAutoHyphens/>
              <w:jc w:val="center"/>
              <w:rPr>
                <w:color w:val="0000FF"/>
                <w:spacing w:val="-3"/>
                <w:sz w:val="22"/>
                <w:szCs w:val="22"/>
              </w:rPr>
            </w:pPr>
            <w:r w:rsidRPr="007009EE">
              <w:rPr>
                <w:color w:val="0000FF"/>
                <w:spacing w:val="-3"/>
                <w:sz w:val="22"/>
                <w:szCs w:val="22"/>
              </w:rPr>
              <w:t>0.439</w:t>
            </w:r>
          </w:p>
        </w:tc>
        <w:tc>
          <w:tcPr>
            <w:tcW w:w="3230" w:type="dxa"/>
          </w:tcPr>
          <w:p w:rsidR="00FD6FB5" w:rsidRPr="007009EE" w:rsidRDefault="00FD6FB5">
            <w:pPr>
              <w:suppressAutoHyphens/>
              <w:jc w:val="center"/>
              <w:rPr>
                <w:color w:val="0000FF"/>
                <w:spacing w:val="-3"/>
                <w:sz w:val="22"/>
                <w:szCs w:val="22"/>
              </w:rPr>
            </w:pPr>
            <w:r w:rsidRPr="007009EE">
              <w:rPr>
                <w:color w:val="0000FF"/>
                <w:spacing w:val="-3"/>
                <w:sz w:val="22"/>
                <w:szCs w:val="22"/>
              </w:rPr>
              <w:t>AP-42 Table 3.3-1</w:t>
            </w:r>
            <w:r w:rsidRPr="007009EE">
              <w:rPr>
                <w:color w:val="FF0000"/>
                <w:spacing w:val="-3"/>
                <w:sz w:val="22"/>
                <w:szCs w:val="22"/>
              </w:rPr>
              <w:t xml:space="preserve"> OR </w:t>
            </w:r>
            <w:r w:rsidRPr="007009EE">
              <w:rPr>
                <w:color w:val="0000FF"/>
                <w:spacing w:val="-3"/>
                <w:sz w:val="22"/>
                <w:szCs w:val="22"/>
              </w:rPr>
              <w:t>Controlled EF proposed by Applicant</w:t>
            </w:r>
          </w:p>
        </w:tc>
      </w:tr>
      <w:tr w:rsidR="00FD6FB5" w:rsidRPr="007009EE" w:rsidTr="009B0D6C">
        <w:tc>
          <w:tcPr>
            <w:tcW w:w="2147" w:type="dxa"/>
            <w:shd w:val="clear" w:color="auto" w:fill="auto"/>
            <w:vAlign w:val="center"/>
          </w:tcPr>
          <w:p w:rsidR="00FD6FB5" w:rsidRPr="007009EE" w:rsidRDefault="00FD6FB5">
            <w:pPr>
              <w:suppressAutoHyphens/>
              <w:jc w:val="center"/>
              <w:rPr>
                <w:noProof/>
                <w:spacing w:val="-3"/>
                <w:sz w:val="22"/>
                <w:szCs w:val="22"/>
              </w:rPr>
            </w:pPr>
            <w:r w:rsidRPr="007009EE">
              <w:rPr>
                <w:noProof/>
                <w:spacing w:val="-3"/>
                <w:sz w:val="22"/>
                <w:szCs w:val="22"/>
              </w:rPr>
              <w:t>VOC</w:t>
            </w:r>
          </w:p>
        </w:tc>
        <w:tc>
          <w:tcPr>
            <w:tcW w:w="2363" w:type="dxa"/>
          </w:tcPr>
          <w:p w:rsidR="00FD6FB5" w:rsidRPr="007009EE" w:rsidRDefault="00FD6FB5">
            <w:pPr>
              <w:suppressAutoHyphens/>
              <w:jc w:val="center"/>
              <w:rPr>
                <w:color w:val="0000FF"/>
                <w:spacing w:val="-3"/>
                <w:sz w:val="22"/>
                <w:szCs w:val="22"/>
              </w:rPr>
            </w:pPr>
            <w:r w:rsidRPr="007009EE">
              <w:rPr>
                <w:color w:val="0000FF"/>
                <w:spacing w:val="-3"/>
                <w:sz w:val="22"/>
                <w:szCs w:val="22"/>
              </w:rPr>
              <w:t>0.0216</w:t>
            </w:r>
          </w:p>
        </w:tc>
        <w:tc>
          <w:tcPr>
            <w:tcW w:w="3230" w:type="dxa"/>
          </w:tcPr>
          <w:p w:rsidR="00FD6FB5" w:rsidRPr="007009EE" w:rsidRDefault="00FD6FB5">
            <w:pPr>
              <w:suppressAutoHyphens/>
              <w:jc w:val="center"/>
              <w:rPr>
                <w:color w:val="0000FF"/>
                <w:spacing w:val="-3"/>
                <w:sz w:val="22"/>
                <w:szCs w:val="22"/>
              </w:rPr>
            </w:pPr>
            <w:r w:rsidRPr="007009EE">
              <w:rPr>
                <w:color w:val="0000FF"/>
                <w:spacing w:val="-3"/>
                <w:sz w:val="22"/>
                <w:szCs w:val="22"/>
              </w:rPr>
              <w:t>AP-42 Table 3.3-1</w:t>
            </w:r>
            <w:r w:rsidRPr="007009EE">
              <w:rPr>
                <w:color w:val="FF0000"/>
                <w:spacing w:val="-3"/>
                <w:sz w:val="22"/>
                <w:szCs w:val="22"/>
              </w:rPr>
              <w:t xml:space="preserve"> OR </w:t>
            </w:r>
            <w:r w:rsidRPr="007009EE">
              <w:rPr>
                <w:color w:val="0000FF"/>
                <w:spacing w:val="-3"/>
                <w:sz w:val="22"/>
                <w:szCs w:val="22"/>
              </w:rPr>
              <w:t>Controlled EF proposed by Applicant</w:t>
            </w:r>
          </w:p>
        </w:tc>
      </w:tr>
    </w:tbl>
    <w:p w:rsidR="00FD6FB5" w:rsidRDefault="00FD6FB5">
      <w:pPr>
        <w:pStyle w:val="FootnoteText"/>
        <w:rPr>
          <w:rFonts w:ascii="Arial" w:hAnsi="Arial"/>
        </w:rPr>
      </w:pPr>
    </w:p>
    <w:p w:rsidR="00FD6FB5" w:rsidRDefault="00FD6FB5">
      <w:pPr>
        <w:suppressAutoHyphens/>
        <w:ind w:firstLine="540"/>
        <w:jc w:val="both"/>
        <w:rPr>
          <w:spacing w:val="-3"/>
        </w:rPr>
      </w:pPr>
      <w:r>
        <w:rPr>
          <w:b/>
          <w:bCs/>
          <w:spacing w:val="-3"/>
        </w:rPr>
        <w:t>Emission Factor Adjustment for Control Devices</w:t>
      </w:r>
    </w:p>
    <w:p w:rsidR="00FD6FB5" w:rsidRDefault="00FD6FB5">
      <w:pPr>
        <w:suppressAutoHyphens/>
        <w:ind w:left="720"/>
        <w:jc w:val="both"/>
        <w:rPr>
          <w:spacing w:val="-3"/>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510"/>
      </w:tblGrid>
      <w:tr w:rsidR="00FD6FB5" w:rsidTr="006B0360">
        <w:trPr>
          <w:cantSplit/>
        </w:trPr>
        <w:tc>
          <w:tcPr>
            <w:tcW w:w="7110" w:type="dxa"/>
            <w:gridSpan w:val="2"/>
            <w:tcBorders>
              <w:top w:val="double" w:sz="4" w:space="0" w:color="auto"/>
              <w:left w:val="double" w:sz="4" w:space="0" w:color="auto"/>
              <w:bottom w:val="double" w:sz="6" w:space="0" w:color="000000"/>
              <w:right w:val="double" w:sz="4" w:space="0" w:color="auto"/>
            </w:tcBorders>
            <w:shd w:val="clear" w:color="auto" w:fill="auto"/>
          </w:tcPr>
          <w:p w:rsidR="00FD6FB5" w:rsidRPr="007009EE" w:rsidRDefault="00FD6FB5" w:rsidP="009A4D6E">
            <w:pPr>
              <w:suppressAutoHyphens/>
              <w:jc w:val="center"/>
              <w:rPr>
                <w:b/>
                <w:bCs/>
                <w:spacing w:val="-3"/>
                <w:sz w:val="22"/>
                <w:szCs w:val="22"/>
              </w:rPr>
            </w:pPr>
            <w:r w:rsidRPr="007009EE">
              <w:rPr>
                <w:b/>
                <w:bCs/>
                <w:spacing w:val="-3"/>
                <w:sz w:val="22"/>
                <w:szCs w:val="22"/>
              </w:rPr>
              <w:t>Control Efficiency</w:t>
            </w:r>
          </w:p>
        </w:tc>
      </w:tr>
      <w:tr w:rsidR="00FD6FB5" w:rsidTr="009B0D6C">
        <w:tc>
          <w:tcPr>
            <w:tcW w:w="3600" w:type="dxa"/>
            <w:tcBorders>
              <w:top w:val="double" w:sz="6" w:space="0" w:color="000000"/>
              <w:left w:val="double" w:sz="4" w:space="0" w:color="auto"/>
              <w:bottom w:val="double" w:sz="4" w:space="0" w:color="auto"/>
            </w:tcBorders>
            <w:shd w:val="clear" w:color="auto" w:fill="auto"/>
          </w:tcPr>
          <w:p w:rsidR="00FD6FB5" w:rsidRPr="007009EE" w:rsidRDefault="00FD6FB5">
            <w:pPr>
              <w:suppressAutoHyphens/>
              <w:jc w:val="center"/>
              <w:rPr>
                <w:b/>
                <w:bCs/>
                <w:spacing w:val="-3"/>
                <w:sz w:val="22"/>
                <w:szCs w:val="22"/>
              </w:rPr>
            </w:pPr>
            <w:r w:rsidRPr="007009EE">
              <w:rPr>
                <w:b/>
                <w:bCs/>
                <w:spacing w:val="-3"/>
                <w:sz w:val="22"/>
                <w:szCs w:val="22"/>
              </w:rPr>
              <w:t>Pollutant</w:t>
            </w:r>
          </w:p>
        </w:tc>
        <w:tc>
          <w:tcPr>
            <w:tcW w:w="3510" w:type="dxa"/>
            <w:tcBorders>
              <w:top w:val="double" w:sz="6" w:space="0" w:color="000000"/>
              <w:bottom w:val="double" w:sz="4" w:space="0" w:color="auto"/>
              <w:right w:val="double" w:sz="4" w:space="0" w:color="auto"/>
            </w:tcBorders>
            <w:shd w:val="clear" w:color="auto" w:fill="auto"/>
          </w:tcPr>
          <w:p w:rsidR="00FD6FB5" w:rsidRPr="007009EE" w:rsidRDefault="00FD6FB5">
            <w:pPr>
              <w:suppressAutoHyphens/>
              <w:jc w:val="center"/>
              <w:rPr>
                <w:b/>
                <w:bCs/>
                <w:spacing w:val="-3"/>
                <w:sz w:val="22"/>
                <w:szCs w:val="22"/>
              </w:rPr>
            </w:pPr>
            <w:r w:rsidRPr="007009EE">
              <w:rPr>
                <w:b/>
                <w:bCs/>
                <w:spacing w:val="-3"/>
                <w:sz w:val="22"/>
                <w:szCs w:val="22"/>
              </w:rPr>
              <w:t>Control Efficiency</w:t>
            </w:r>
          </w:p>
        </w:tc>
      </w:tr>
      <w:tr w:rsidR="00FD6FB5">
        <w:tc>
          <w:tcPr>
            <w:tcW w:w="3600" w:type="dxa"/>
            <w:tcBorders>
              <w:top w:val="double" w:sz="4" w:space="0" w:color="auto"/>
              <w:left w:val="double" w:sz="4" w:space="0" w:color="auto"/>
            </w:tcBorders>
          </w:tcPr>
          <w:p w:rsidR="00FD6FB5" w:rsidRPr="007009EE" w:rsidRDefault="009A4D6E">
            <w:pPr>
              <w:suppressAutoHyphens/>
              <w:jc w:val="center"/>
              <w:rPr>
                <w:spacing w:val="-3"/>
                <w:sz w:val="22"/>
                <w:szCs w:val="22"/>
              </w:rPr>
            </w:pPr>
            <w:r w:rsidRPr="009A4D6E">
              <w:rPr>
                <w:spacing w:val="-3"/>
                <w:sz w:val="22"/>
                <w:szCs w:val="22"/>
              </w:rPr>
              <w:t>NO</w:t>
            </w:r>
            <w:r w:rsidRPr="009A4D6E">
              <w:rPr>
                <w:spacing w:val="-3"/>
                <w:sz w:val="22"/>
                <w:szCs w:val="22"/>
                <w:vertAlign w:val="subscript"/>
              </w:rPr>
              <w:t>X</w:t>
            </w:r>
          </w:p>
        </w:tc>
        <w:tc>
          <w:tcPr>
            <w:tcW w:w="3510" w:type="dxa"/>
            <w:tcBorders>
              <w:top w:val="double" w:sz="4" w:space="0" w:color="auto"/>
              <w:right w:val="double" w:sz="4" w:space="0" w:color="auto"/>
            </w:tcBorders>
          </w:tcPr>
          <w:p w:rsidR="00FD6FB5" w:rsidRPr="007009EE" w:rsidRDefault="00FD6FB5">
            <w:pPr>
              <w:suppressAutoHyphens/>
              <w:jc w:val="center"/>
              <w:rPr>
                <w:spacing w:val="-3"/>
                <w:sz w:val="22"/>
                <w:szCs w:val="22"/>
              </w:rPr>
            </w:pPr>
            <w:r w:rsidRPr="007009EE">
              <w:rPr>
                <w:color w:val="0000FF"/>
                <w:spacing w:val="-3"/>
                <w:sz w:val="22"/>
                <w:szCs w:val="22"/>
              </w:rPr>
              <w:t>95%</w:t>
            </w:r>
            <w:bookmarkStart w:id="4" w:name="_Ref54077968"/>
            <w:r w:rsidRPr="007009EE">
              <w:rPr>
                <w:rStyle w:val="FootnoteReference"/>
                <w:color w:val="0000FF"/>
                <w:spacing w:val="-3"/>
                <w:sz w:val="22"/>
                <w:szCs w:val="22"/>
              </w:rPr>
              <w:footnoteReference w:id="4"/>
            </w:r>
            <w:bookmarkEnd w:id="4"/>
          </w:p>
        </w:tc>
      </w:tr>
      <w:tr w:rsidR="00FD6FB5">
        <w:tc>
          <w:tcPr>
            <w:tcW w:w="3600" w:type="dxa"/>
            <w:tcBorders>
              <w:left w:val="double" w:sz="4" w:space="0" w:color="auto"/>
            </w:tcBorders>
          </w:tcPr>
          <w:p w:rsidR="00FD6FB5" w:rsidRPr="007009EE" w:rsidRDefault="00FD6FB5">
            <w:pPr>
              <w:suppressAutoHyphens/>
              <w:jc w:val="center"/>
              <w:rPr>
                <w:spacing w:val="-3"/>
                <w:sz w:val="22"/>
                <w:szCs w:val="22"/>
              </w:rPr>
            </w:pPr>
            <w:r w:rsidRPr="007009EE">
              <w:rPr>
                <w:spacing w:val="-3"/>
                <w:sz w:val="22"/>
                <w:szCs w:val="22"/>
              </w:rPr>
              <w:t>CO</w:t>
            </w:r>
          </w:p>
        </w:tc>
        <w:tc>
          <w:tcPr>
            <w:tcW w:w="3510" w:type="dxa"/>
            <w:tcBorders>
              <w:right w:val="double" w:sz="4"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95%</w:t>
            </w:r>
            <w:r w:rsidRPr="007009EE">
              <w:rPr>
                <w:color w:val="0000FF"/>
                <w:spacing w:val="-3"/>
                <w:sz w:val="22"/>
                <w:szCs w:val="22"/>
              </w:rPr>
              <w:fldChar w:fldCharType="begin"/>
            </w:r>
            <w:r w:rsidRPr="007009EE">
              <w:rPr>
                <w:color w:val="0000FF"/>
                <w:spacing w:val="-3"/>
                <w:sz w:val="22"/>
                <w:szCs w:val="22"/>
              </w:rPr>
              <w:instrText xml:space="preserve"> NOTEREF _Ref54077968 \f \h  \* MERGEFORMAT </w:instrText>
            </w:r>
            <w:r w:rsidRPr="007009EE">
              <w:rPr>
                <w:color w:val="0000FF"/>
                <w:spacing w:val="-3"/>
                <w:sz w:val="22"/>
                <w:szCs w:val="22"/>
              </w:rPr>
            </w:r>
            <w:r w:rsidRPr="007009EE">
              <w:rPr>
                <w:color w:val="0000FF"/>
                <w:spacing w:val="-3"/>
                <w:sz w:val="22"/>
                <w:szCs w:val="22"/>
              </w:rPr>
              <w:fldChar w:fldCharType="separate"/>
            </w:r>
            <w:r w:rsidR="001E15B1" w:rsidRPr="0012075E">
              <w:rPr>
                <w:rStyle w:val="FootnoteReference"/>
              </w:rPr>
              <w:t>4</w:t>
            </w:r>
            <w:r w:rsidRPr="007009EE">
              <w:rPr>
                <w:color w:val="0000FF"/>
                <w:spacing w:val="-3"/>
                <w:sz w:val="22"/>
                <w:szCs w:val="22"/>
              </w:rPr>
              <w:fldChar w:fldCharType="end"/>
            </w:r>
          </w:p>
        </w:tc>
      </w:tr>
      <w:tr w:rsidR="00FD6FB5">
        <w:tc>
          <w:tcPr>
            <w:tcW w:w="3600" w:type="dxa"/>
            <w:tcBorders>
              <w:left w:val="double" w:sz="4" w:space="0" w:color="auto"/>
              <w:bottom w:val="double" w:sz="4" w:space="0" w:color="auto"/>
            </w:tcBorders>
          </w:tcPr>
          <w:p w:rsidR="00FD6FB5" w:rsidRPr="007009EE" w:rsidRDefault="00FD6FB5">
            <w:pPr>
              <w:suppressAutoHyphens/>
              <w:jc w:val="center"/>
              <w:rPr>
                <w:spacing w:val="-3"/>
                <w:sz w:val="22"/>
                <w:szCs w:val="22"/>
              </w:rPr>
            </w:pPr>
            <w:r w:rsidRPr="007009EE">
              <w:rPr>
                <w:spacing w:val="-3"/>
                <w:sz w:val="22"/>
                <w:szCs w:val="22"/>
              </w:rPr>
              <w:t>VOC</w:t>
            </w:r>
          </w:p>
        </w:tc>
        <w:tc>
          <w:tcPr>
            <w:tcW w:w="3510" w:type="dxa"/>
            <w:tcBorders>
              <w:bottom w:val="double" w:sz="4" w:space="0" w:color="auto"/>
              <w:right w:val="double" w:sz="4"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95%</w:t>
            </w:r>
            <w:r w:rsidRPr="007009EE">
              <w:rPr>
                <w:rStyle w:val="FootnoteReference"/>
                <w:color w:val="0000FF"/>
                <w:spacing w:val="-3"/>
                <w:sz w:val="22"/>
                <w:szCs w:val="22"/>
              </w:rPr>
              <w:footnoteReference w:id="5"/>
            </w:r>
          </w:p>
        </w:tc>
      </w:tr>
    </w:tbl>
    <w:p w:rsidR="00FD6FB5" w:rsidRDefault="00FD6FB5">
      <w:pPr>
        <w:tabs>
          <w:tab w:val="left" w:pos="540"/>
        </w:tabs>
        <w:suppressAutoHyphens/>
        <w:ind w:left="540"/>
        <w:jc w:val="both"/>
        <w:rPr>
          <w:i/>
          <w:iCs/>
          <w:color w:val="FF0000"/>
          <w:spacing w:val="-3"/>
          <w:sz w:val="20"/>
        </w:rPr>
      </w:pPr>
      <w:r>
        <w:rPr>
          <w:i/>
          <w:iCs/>
          <w:color w:val="FF0000"/>
          <w:spacing w:val="-3"/>
          <w:sz w:val="20"/>
        </w:rPr>
        <w:t>NOTE: If the applicant proposes a control efficiency below 95% for NOx and CO, that control efficiency should be used instead of the 95%.</w:t>
      </w:r>
    </w:p>
    <w:p w:rsidR="00FD6FB5" w:rsidRDefault="00FD6FB5">
      <w:pPr>
        <w:pStyle w:val="FootnoteText"/>
        <w:ind w:left="720"/>
        <w:rPr>
          <w:rFonts w:ascii="Arial" w:hAnsi="Arial" w:cs="Arial"/>
          <w:sz w:val="20"/>
        </w:rPr>
      </w:pPr>
    </w:p>
    <w:p w:rsidR="00FD6FB5" w:rsidRDefault="00FD6FB5">
      <w:pPr>
        <w:suppressAutoHyphens/>
        <w:ind w:left="540"/>
        <w:jc w:val="both"/>
        <w:rPr>
          <w:color w:val="000000"/>
          <w:spacing w:val="-3"/>
        </w:rPr>
      </w:pPr>
      <w:r>
        <w:rPr>
          <w:color w:val="000000"/>
          <w:spacing w:val="-3"/>
        </w:rPr>
        <w:lastRenderedPageBreak/>
        <w:t>The following table shows the controlled emission factors for NO</w:t>
      </w:r>
      <w:r>
        <w:rPr>
          <w:color w:val="000000"/>
          <w:spacing w:val="-3"/>
          <w:vertAlign w:val="subscript"/>
        </w:rPr>
        <w:t>x</w:t>
      </w:r>
      <w:r>
        <w:rPr>
          <w:color w:val="000000"/>
          <w:spacing w:val="-3"/>
        </w:rPr>
        <w:t>, SO</w:t>
      </w:r>
      <w:r>
        <w:rPr>
          <w:color w:val="000000"/>
          <w:spacing w:val="-3"/>
          <w:vertAlign w:val="subscript"/>
        </w:rPr>
        <w:t>x</w:t>
      </w:r>
      <w:r>
        <w:rPr>
          <w:color w:val="000000"/>
          <w:spacing w:val="-3"/>
        </w:rPr>
        <w:t>, PM</w:t>
      </w:r>
      <w:r>
        <w:rPr>
          <w:color w:val="000000"/>
          <w:spacing w:val="-3"/>
          <w:vertAlign w:val="subscript"/>
        </w:rPr>
        <w:t>10</w:t>
      </w:r>
      <w:r>
        <w:rPr>
          <w:color w:val="000000"/>
          <w:spacing w:val="-3"/>
        </w:rPr>
        <w:t xml:space="preserve">, CO and VOC.  </w:t>
      </w:r>
    </w:p>
    <w:p w:rsidR="00FD6FB5" w:rsidRPr="007009EE" w:rsidRDefault="00FD6FB5">
      <w:pPr>
        <w:suppressAutoHyphens/>
        <w:ind w:left="720"/>
        <w:jc w:val="both"/>
        <w:rPr>
          <w:color w:val="000000"/>
          <w:spacing w:val="-3"/>
          <w:sz w:val="22"/>
          <w:szCs w:val="22"/>
        </w:rPr>
      </w:pPr>
    </w:p>
    <w:tbl>
      <w:tblPr>
        <w:tblW w:w="8928" w:type="dxa"/>
        <w:tblInd w:w="64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725"/>
        <w:gridCol w:w="2423"/>
        <w:gridCol w:w="2423"/>
        <w:gridCol w:w="2339"/>
        <w:gridCol w:w="18"/>
      </w:tblGrid>
      <w:tr w:rsidR="00FD6FB5" w:rsidRPr="007009EE" w:rsidTr="006B0360">
        <w:trPr>
          <w:cantSplit/>
          <w:trHeight w:val="239"/>
        </w:trPr>
        <w:tc>
          <w:tcPr>
            <w:tcW w:w="8928" w:type="dxa"/>
            <w:gridSpan w:val="5"/>
            <w:tcBorders>
              <w:top w:val="double" w:sz="4" w:space="0" w:color="auto"/>
              <w:left w:val="double" w:sz="4" w:space="0" w:color="auto"/>
              <w:bottom w:val="double" w:sz="6" w:space="0" w:color="000000"/>
              <w:right w:val="double" w:sz="4" w:space="0" w:color="auto"/>
            </w:tcBorders>
            <w:shd w:val="clear" w:color="auto" w:fill="auto"/>
            <w:vAlign w:val="center"/>
          </w:tcPr>
          <w:p w:rsidR="00FD6FB5" w:rsidRPr="007009EE" w:rsidRDefault="00FD6FB5" w:rsidP="009A4D6E">
            <w:pPr>
              <w:suppressAutoHyphens/>
              <w:spacing w:before="40" w:after="40"/>
              <w:jc w:val="center"/>
              <w:rPr>
                <w:b/>
                <w:bCs/>
                <w:color w:val="000000"/>
                <w:spacing w:val="-3"/>
                <w:sz w:val="22"/>
                <w:szCs w:val="22"/>
              </w:rPr>
            </w:pPr>
            <w:r w:rsidRPr="007009EE">
              <w:rPr>
                <w:b/>
                <w:bCs/>
                <w:color w:val="000000"/>
                <w:spacing w:val="-3"/>
                <w:sz w:val="22"/>
                <w:szCs w:val="22"/>
              </w:rPr>
              <w:t>Emission Factors (Controlled)</w:t>
            </w:r>
          </w:p>
        </w:tc>
      </w:tr>
      <w:tr w:rsidR="00FD6FB5" w:rsidRPr="007009EE" w:rsidTr="00737653">
        <w:trPr>
          <w:gridAfter w:val="1"/>
          <w:wAfter w:w="18" w:type="dxa"/>
          <w:cantSplit/>
          <w:trHeight w:val="412"/>
        </w:trPr>
        <w:tc>
          <w:tcPr>
            <w:tcW w:w="1725" w:type="dxa"/>
            <w:tcBorders>
              <w:top w:val="double" w:sz="6" w:space="0" w:color="auto"/>
              <w:bottom w:val="double" w:sz="6" w:space="0" w:color="auto"/>
            </w:tcBorders>
            <w:shd w:val="clear" w:color="auto" w:fill="auto"/>
            <w:vAlign w:val="center"/>
          </w:tcPr>
          <w:p w:rsidR="00FD6FB5" w:rsidRPr="007009EE" w:rsidRDefault="00FD6FB5">
            <w:pPr>
              <w:suppressAutoHyphens/>
              <w:jc w:val="center"/>
              <w:rPr>
                <w:b/>
                <w:bCs/>
                <w:color w:val="000000"/>
                <w:spacing w:val="-3"/>
                <w:sz w:val="22"/>
                <w:szCs w:val="22"/>
              </w:rPr>
            </w:pPr>
            <w:r w:rsidRPr="007009EE">
              <w:rPr>
                <w:b/>
                <w:bCs/>
                <w:color w:val="000000"/>
                <w:spacing w:val="-3"/>
                <w:sz w:val="22"/>
                <w:szCs w:val="22"/>
              </w:rPr>
              <w:t>Pollutant</w:t>
            </w:r>
          </w:p>
        </w:tc>
        <w:tc>
          <w:tcPr>
            <w:tcW w:w="2423" w:type="dxa"/>
            <w:tcBorders>
              <w:top w:val="double" w:sz="6" w:space="0" w:color="auto"/>
              <w:bottom w:val="double" w:sz="6" w:space="0" w:color="auto"/>
            </w:tcBorders>
            <w:shd w:val="clear" w:color="auto" w:fill="auto"/>
            <w:vAlign w:val="center"/>
          </w:tcPr>
          <w:p w:rsidR="00FD6FB5" w:rsidRPr="007009EE" w:rsidRDefault="00FD6FB5">
            <w:pPr>
              <w:suppressAutoHyphens/>
              <w:jc w:val="center"/>
              <w:rPr>
                <w:b/>
                <w:bCs/>
                <w:color w:val="000000"/>
                <w:spacing w:val="-3"/>
                <w:sz w:val="22"/>
                <w:szCs w:val="22"/>
              </w:rPr>
            </w:pPr>
            <w:r w:rsidRPr="007009EE">
              <w:rPr>
                <w:b/>
                <w:bCs/>
                <w:color w:val="000000"/>
                <w:spacing w:val="-3"/>
                <w:sz w:val="22"/>
                <w:szCs w:val="22"/>
              </w:rPr>
              <w:t>EF</w:t>
            </w:r>
            <w:r w:rsidRPr="007009EE">
              <w:rPr>
                <w:b/>
                <w:bCs/>
                <w:color w:val="000000"/>
                <w:spacing w:val="-3"/>
                <w:sz w:val="22"/>
                <w:szCs w:val="22"/>
                <w:vertAlign w:val="subscript"/>
              </w:rPr>
              <w:t xml:space="preserve">(Gasoline) </w:t>
            </w:r>
            <w:r w:rsidRPr="007009EE">
              <w:rPr>
                <w:b/>
                <w:bCs/>
                <w:color w:val="000000"/>
                <w:spacing w:val="-3"/>
                <w:sz w:val="22"/>
                <w:szCs w:val="22"/>
              </w:rPr>
              <w:t>(</w:t>
            </w:r>
            <w:r w:rsidR="008B2F73" w:rsidRPr="008B2F73">
              <w:rPr>
                <w:b/>
                <w:bCs/>
                <w:color w:val="000000"/>
                <w:spacing w:val="-3"/>
                <w:sz w:val="22"/>
                <w:szCs w:val="22"/>
              </w:rPr>
              <w:t>lbs</w:t>
            </w:r>
            <w:r w:rsidRPr="007009EE">
              <w:rPr>
                <w:b/>
                <w:bCs/>
                <w:color w:val="000000"/>
                <w:spacing w:val="-3"/>
                <w:sz w:val="22"/>
                <w:szCs w:val="22"/>
              </w:rPr>
              <w:t>/</w:t>
            </w:r>
            <w:r w:rsidR="00573152" w:rsidRPr="007009EE">
              <w:rPr>
                <w:b/>
                <w:bCs/>
                <w:color w:val="000000"/>
                <w:spacing w:val="-3"/>
                <w:sz w:val="22"/>
                <w:szCs w:val="22"/>
              </w:rPr>
              <w:t>b</w:t>
            </w:r>
            <w:r w:rsidRPr="007009EE">
              <w:rPr>
                <w:b/>
                <w:bCs/>
                <w:color w:val="000000"/>
                <w:spacing w:val="-3"/>
                <w:sz w:val="22"/>
                <w:szCs w:val="22"/>
              </w:rPr>
              <w:t>hp-hr)</w:t>
            </w:r>
          </w:p>
        </w:tc>
        <w:tc>
          <w:tcPr>
            <w:tcW w:w="2423" w:type="dxa"/>
            <w:tcBorders>
              <w:top w:val="double" w:sz="6" w:space="0" w:color="auto"/>
              <w:bottom w:val="double" w:sz="6" w:space="0" w:color="auto"/>
            </w:tcBorders>
            <w:shd w:val="clear" w:color="auto" w:fill="auto"/>
            <w:vAlign w:val="center"/>
          </w:tcPr>
          <w:p w:rsidR="00FD6FB5" w:rsidRPr="007009EE" w:rsidRDefault="00FD6FB5">
            <w:pPr>
              <w:suppressAutoHyphens/>
              <w:jc w:val="center"/>
              <w:rPr>
                <w:b/>
                <w:bCs/>
                <w:color w:val="000000"/>
                <w:spacing w:val="-3"/>
                <w:sz w:val="22"/>
                <w:szCs w:val="22"/>
              </w:rPr>
            </w:pPr>
            <w:r w:rsidRPr="007009EE">
              <w:rPr>
                <w:b/>
                <w:bCs/>
                <w:color w:val="000000"/>
                <w:spacing w:val="-3"/>
                <w:sz w:val="22"/>
                <w:szCs w:val="22"/>
              </w:rPr>
              <w:t>EF</w:t>
            </w:r>
            <w:r w:rsidRPr="007009EE">
              <w:rPr>
                <w:b/>
                <w:bCs/>
                <w:color w:val="000000"/>
                <w:spacing w:val="-3"/>
                <w:sz w:val="22"/>
                <w:szCs w:val="22"/>
                <w:vertAlign w:val="subscript"/>
              </w:rPr>
              <w:t xml:space="preserve">(Gasoline) </w:t>
            </w:r>
            <w:r w:rsidRPr="007009EE">
              <w:rPr>
                <w:b/>
                <w:bCs/>
                <w:color w:val="000000"/>
                <w:spacing w:val="-3"/>
                <w:sz w:val="22"/>
                <w:szCs w:val="22"/>
              </w:rPr>
              <w:t>(g/</w:t>
            </w:r>
            <w:r w:rsidR="00573152" w:rsidRPr="007009EE">
              <w:rPr>
                <w:b/>
                <w:bCs/>
                <w:color w:val="000000"/>
                <w:spacing w:val="-3"/>
                <w:sz w:val="22"/>
                <w:szCs w:val="22"/>
              </w:rPr>
              <w:t>b</w:t>
            </w:r>
            <w:r w:rsidRPr="007009EE">
              <w:rPr>
                <w:b/>
                <w:bCs/>
                <w:color w:val="000000"/>
                <w:spacing w:val="-3"/>
                <w:sz w:val="22"/>
                <w:szCs w:val="22"/>
              </w:rPr>
              <w:t>hp-hr)</w:t>
            </w:r>
          </w:p>
        </w:tc>
        <w:tc>
          <w:tcPr>
            <w:tcW w:w="2339" w:type="dxa"/>
            <w:tcBorders>
              <w:top w:val="double" w:sz="6" w:space="0" w:color="auto"/>
              <w:bottom w:val="double" w:sz="6" w:space="0" w:color="auto"/>
            </w:tcBorders>
            <w:shd w:val="clear" w:color="auto" w:fill="auto"/>
            <w:vAlign w:val="center"/>
          </w:tcPr>
          <w:p w:rsidR="00FD6FB5" w:rsidRPr="007009EE" w:rsidRDefault="00FD6FB5">
            <w:pPr>
              <w:suppressAutoHyphens/>
              <w:jc w:val="center"/>
              <w:rPr>
                <w:b/>
                <w:bCs/>
                <w:color w:val="000000"/>
                <w:spacing w:val="-3"/>
                <w:sz w:val="22"/>
                <w:szCs w:val="22"/>
              </w:rPr>
            </w:pPr>
            <w:r w:rsidRPr="007009EE">
              <w:rPr>
                <w:b/>
                <w:bCs/>
                <w:color w:val="000000"/>
                <w:spacing w:val="-3"/>
                <w:sz w:val="22"/>
                <w:szCs w:val="22"/>
              </w:rPr>
              <w:t>EF</w:t>
            </w:r>
            <w:r w:rsidRPr="007009EE">
              <w:rPr>
                <w:b/>
                <w:bCs/>
                <w:color w:val="000000"/>
                <w:spacing w:val="-3"/>
                <w:sz w:val="22"/>
                <w:szCs w:val="22"/>
                <w:vertAlign w:val="subscript"/>
              </w:rPr>
              <w:t xml:space="preserve">(Gasoline) </w:t>
            </w:r>
            <w:r w:rsidRPr="007009EE">
              <w:rPr>
                <w:b/>
                <w:bCs/>
                <w:color w:val="000000"/>
                <w:spacing w:val="-3"/>
                <w:sz w:val="22"/>
                <w:szCs w:val="22"/>
              </w:rPr>
              <w:t>(ppmv)</w:t>
            </w:r>
            <w:r w:rsidRPr="007009EE">
              <w:rPr>
                <w:rStyle w:val="FootnoteReference"/>
                <w:b/>
                <w:bCs/>
                <w:color w:val="000000"/>
                <w:spacing w:val="-3"/>
                <w:sz w:val="22"/>
                <w:szCs w:val="22"/>
              </w:rPr>
              <w:footnoteReference w:id="6"/>
            </w:r>
          </w:p>
        </w:tc>
      </w:tr>
      <w:tr w:rsidR="00FD6FB5" w:rsidRPr="007009EE">
        <w:trPr>
          <w:gridAfter w:val="1"/>
          <w:wAfter w:w="18" w:type="dxa"/>
          <w:cantSplit/>
        </w:trPr>
        <w:tc>
          <w:tcPr>
            <w:tcW w:w="1725" w:type="dxa"/>
            <w:tcBorders>
              <w:top w:val="double" w:sz="6" w:space="0" w:color="auto"/>
              <w:bottom w:val="single" w:sz="6" w:space="0" w:color="auto"/>
            </w:tcBorders>
            <w:shd w:val="clear" w:color="auto" w:fill="FFFFFF"/>
            <w:vAlign w:val="center"/>
          </w:tcPr>
          <w:p w:rsidR="00FD6FB5" w:rsidRPr="007009EE" w:rsidRDefault="00FD6FB5">
            <w:pPr>
              <w:suppressAutoHyphens/>
              <w:jc w:val="center"/>
              <w:rPr>
                <w:color w:val="000000"/>
                <w:spacing w:val="-3"/>
                <w:sz w:val="22"/>
                <w:szCs w:val="22"/>
              </w:rPr>
            </w:pPr>
            <w:r w:rsidRPr="007009EE">
              <w:rPr>
                <w:noProof/>
                <w:color w:val="000000"/>
                <w:spacing w:val="-3"/>
                <w:sz w:val="22"/>
                <w:szCs w:val="22"/>
              </w:rPr>
              <w:t>NO</w:t>
            </w:r>
            <w:r w:rsidRPr="007009EE">
              <w:rPr>
                <w:noProof/>
                <w:color w:val="000000"/>
                <w:spacing w:val="-3"/>
                <w:sz w:val="22"/>
                <w:szCs w:val="22"/>
                <w:vertAlign w:val="subscript"/>
              </w:rPr>
              <w:t>x</w:t>
            </w:r>
          </w:p>
        </w:tc>
        <w:tc>
          <w:tcPr>
            <w:tcW w:w="2423" w:type="dxa"/>
            <w:tcBorders>
              <w:top w:val="doub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0.00055</w:t>
            </w:r>
          </w:p>
        </w:tc>
        <w:tc>
          <w:tcPr>
            <w:tcW w:w="2423" w:type="dxa"/>
            <w:tcBorders>
              <w:top w:val="doub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0.249</w:t>
            </w:r>
          </w:p>
        </w:tc>
        <w:tc>
          <w:tcPr>
            <w:tcW w:w="2339" w:type="dxa"/>
            <w:tcBorders>
              <w:top w:val="doub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20.2</w:t>
            </w:r>
            <w:r w:rsidR="00573152" w:rsidRPr="007009EE">
              <w:rPr>
                <w:color w:val="0000FF"/>
                <w:spacing w:val="-3"/>
                <w:sz w:val="22"/>
                <w:szCs w:val="22"/>
              </w:rPr>
              <w:t>*</w:t>
            </w:r>
            <w:r w:rsidRPr="007009EE">
              <w:rPr>
                <w:color w:val="0000FF"/>
                <w:spacing w:val="-3"/>
                <w:sz w:val="22"/>
                <w:szCs w:val="22"/>
              </w:rPr>
              <w:t xml:space="preserve"> </w:t>
            </w:r>
          </w:p>
        </w:tc>
      </w:tr>
      <w:tr w:rsidR="00FD6FB5" w:rsidRPr="007009EE">
        <w:trPr>
          <w:gridAfter w:val="1"/>
          <w:wAfter w:w="18" w:type="dxa"/>
          <w:cantSplit/>
        </w:trPr>
        <w:tc>
          <w:tcPr>
            <w:tcW w:w="1725" w:type="dxa"/>
            <w:tcBorders>
              <w:top w:val="single" w:sz="6" w:space="0" w:color="auto"/>
              <w:bottom w:val="single" w:sz="6" w:space="0" w:color="auto"/>
            </w:tcBorders>
            <w:shd w:val="clear" w:color="auto" w:fill="FFFFFF"/>
            <w:vAlign w:val="center"/>
          </w:tcPr>
          <w:p w:rsidR="00FD6FB5" w:rsidRPr="007009EE" w:rsidRDefault="00FD6FB5">
            <w:pPr>
              <w:suppressAutoHyphens/>
              <w:jc w:val="center"/>
              <w:rPr>
                <w:color w:val="000000"/>
                <w:spacing w:val="-3"/>
                <w:sz w:val="22"/>
                <w:szCs w:val="22"/>
              </w:rPr>
            </w:pPr>
            <w:r w:rsidRPr="007009EE">
              <w:rPr>
                <w:noProof/>
                <w:color w:val="000000"/>
                <w:spacing w:val="-3"/>
                <w:sz w:val="22"/>
                <w:szCs w:val="22"/>
              </w:rPr>
              <w:t>SO</w:t>
            </w:r>
            <w:r w:rsidRPr="007009EE">
              <w:rPr>
                <w:noProof/>
                <w:color w:val="000000"/>
                <w:spacing w:val="-3"/>
                <w:sz w:val="22"/>
                <w:szCs w:val="22"/>
                <w:vertAlign w:val="subscript"/>
              </w:rPr>
              <w:t>x</w:t>
            </w:r>
          </w:p>
        </w:tc>
        <w:tc>
          <w:tcPr>
            <w:tcW w:w="2423" w:type="dxa"/>
          </w:tcPr>
          <w:p w:rsidR="00FD6FB5" w:rsidRPr="007009EE" w:rsidRDefault="00A22732">
            <w:pPr>
              <w:suppressAutoHyphens/>
              <w:jc w:val="center"/>
              <w:rPr>
                <w:color w:val="000000"/>
                <w:spacing w:val="-3"/>
                <w:sz w:val="22"/>
                <w:szCs w:val="22"/>
              </w:rPr>
            </w:pPr>
            <w:r>
              <w:rPr>
                <w:color w:val="000000"/>
                <w:spacing w:val="-3"/>
                <w:sz w:val="22"/>
                <w:szCs w:val="22"/>
              </w:rPr>
              <w:t>0</w:t>
            </w:r>
            <w:r w:rsidR="009B0D6C">
              <w:rPr>
                <w:color w:val="000000"/>
                <w:spacing w:val="-3"/>
                <w:sz w:val="22"/>
                <w:szCs w:val="22"/>
              </w:rPr>
              <w:t>.0001271</w:t>
            </w:r>
          </w:p>
        </w:tc>
        <w:tc>
          <w:tcPr>
            <w:tcW w:w="2423" w:type="dxa"/>
          </w:tcPr>
          <w:p w:rsidR="00FD6FB5" w:rsidRPr="007009EE" w:rsidRDefault="009B0D6C">
            <w:pPr>
              <w:suppressAutoHyphens/>
              <w:jc w:val="center"/>
              <w:rPr>
                <w:color w:val="000000"/>
                <w:spacing w:val="-3"/>
                <w:sz w:val="22"/>
                <w:szCs w:val="22"/>
              </w:rPr>
            </w:pPr>
            <w:r>
              <w:rPr>
                <w:color w:val="000000"/>
                <w:spacing w:val="-3"/>
                <w:sz w:val="22"/>
                <w:szCs w:val="22"/>
              </w:rPr>
              <w:t>0.0577</w:t>
            </w:r>
          </w:p>
        </w:tc>
        <w:tc>
          <w:tcPr>
            <w:tcW w:w="2339" w:type="dxa"/>
          </w:tcPr>
          <w:p w:rsidR="00FD6FB5" w:rsidRPr="007009EE" w:rsidRDefault="00A22732">
            <w:pPr>
              <w:suppressAutoHyphens/>
              <w:jc w:val="center"/>
              <w:rPr>
                <w:color w:val="000000"/>
                <w:spacing w:val="-3"/>
                <w:sz w:val="22"/>
                <w:szCs w:val="22"/>
              </w:rPr>
            </w:pPr>
            <w:r>
              <w:rPr>
                <w:color w:val="000000"/>
                <w:spacing w:val="-3"/>
                <w:sz w:val="22"/>
                <w:szCs w:val="22"/>
              </w:rPr>
              <w:t>-</w:t>
            </w:r>
          </w:p>
        </w:tc>
      </w:tr>
      <w:tr w:rsidR="00FD6FB5" w:rsidRPr="007009EE">
        <w:trPr>
          <w:gridAfter w:val="1"/>
          <w:wAfter w:w="18" w:type="dxa"/>
          <w:cantSplit/>
        </w:trPr>
        <w:tc>
          <w:tcPr>
            <w:tcW w:w="1725" w:type="dxa"/>
            <w:tcBorders>
              <w:top w:val="single" w:sz="6" w:space="0" w:color="auto"/>
              <w:bottom w:val="single" w:sz="6" w:space="0" w:color="auto"/>
            </w:tcBorders>
            <w:shd w:val="clear" w:color="auto" w:fill="FFFFFF"/>
            <w:vAlign w:val="center"/>
          </w:tcPr>
          <w:p w:rsidR="00FD6FB5" w:rsidRPr="007009EE" w:rsidRDefault="00FD6FB5">
            <w:pPr>
              <w:suppressAutoHyphens/>
              <w:jc w:val="center"/>
              <w:rPr>
                <w:color w:val="000000"/>
                <w:spacing w:val="-3"/>
                <w:sz w:val="22"/>
                <w:szCs w:val="22"/>
              </w:rPr>
            </w:pPr>
            <w:r w:rsidRPr="007009EE">
              <w:rPr>
                <w:noProof/>
                <w:color w:val="000000"/>
                <w:spacing w:val="-3"/>
                <w:sz w:val="22"/>
                <w:szCs w:val="22"/>
              </w:rPr>
              <w:t>PM</w:t>
            </w:r>
            <w:r w:rsidRPr="007009EE">
              <w:rPr>
                <w:noProof/>
                <w:color w:val="000000"/>
                <w:spacing w:val="-3"/>
                <w:sz w:val="22"/>
                <w:szCs w:val="22"/>
                <w:vertAlign w:val="subscript"/>
              </w:rPr>
              <w:t>10</w:t>
            </w:r>
          </w:p>
        </w:tc>
        <w:tc>
          <w:tcPr>
            <w:tcW w:w="2423" w:type="dxa"/>
            <w:tcBorders>
              <w:bottom w:val="single" w:sz="6" w:space="0" w:color="auto"/>
            </w:tcBorders>
          </w:tcPr>
          <w:p w:rsidR="00FD6FB5" w:rsidRPr="007009EE" w:rsidRDefault="00FD6FB5">
            <w:pPr>
              <w:suppressAutoHyphens/>
              <w:jc w:val="center"/>
              <w:rPr>
                <w:color w:val="000000"/>
                <w:spacing w:val="-3"/>
                <w:sz w:val="22"/>
                <w:szCs w:val="22"/>
              </w:rPr>
            </w:pPr>
            <w:r w:rsidRPr="007009EE">
              <w:rPr>
                <w:color w:val="000000"/>
                <w:spacing w:val="-3"/>
                <w:sz w:val="22"/>
                <w:szCs w:val="22"/>
              </w:rPr>
              <w:t>0.000721</w:t>
            </w:r>
          </w:p>
        </w:tc>
        <w:tc>
          <w:tcPr>
            <w:tcW w:w="2423" w:type="dxa"/>
            <w:tcBorders>
              <w:bottom w:val="single" w:sz="6" w:space="0" w:color="auto"/>
            </w:tcBorders>
          </w:tcPr>
          <w:p w:rsidR="00FD6FB5" w:rsidRPr="007009EE" w:rsidRDefault="00FD6FB5">
            <w:pPr>
              <w:suppressAutoHyphens/>
              <w:jc w:val="center"/>
              <w:rPr>
                <w:color w:val="000000"/>
                <w:spacing w:val="-3"/>
                <w:sz w:val="22"/>
                <w:szCs w:val="22"/>
              </w:rPr>
            </w:pPr>
            <w:r w:rsidRPr="007009EE">
              <w:rPr>
                <w:color w:val="000000"/>
                <w:spacing w:val="-3"/>
                <w:sz w:val="22"/>
                <w:szCs w:val="22"/>
              </w:rPr>
              <w:t>0.327</w:t>
            </w:r>
          </w:p>
        </w:tc>
        <w:tc>
          <w:tcPr>
            <w:tcW w:w="2339" w:type="dxa"/>
            <w:tcBorders>
              <w:bottom w:val="single" w:sz="6" w:space="0" w:color="auto"/>
            </w:tcBorders>
          </w:tcPr>
          <w:p w:rsidR="00FD6FB5" w:rsidRPr="007009EE" w:rsidRDefault="00FD6FB5">
            <w:pPr>
              <w:suppressAutoHyphens/>
              <w:jc w:val="center"/>
              <w:rPr>
                <w:color w:val="000000"/>
                <w:spacing w:val="-3"/>
                <w:sz w:val="22"/>
                <w:szCs w:val="22"/>
              </w:rPr>
            </w:pPr>
            <w:r w:rsidRPr="007009EE">
              <w:rPr>
                <w:color w:val="000000"/>
                <w:spacing w:val="-3"/>
                <w:sz w:val="22"/>
                <w:szCs w:val="22"/>
              </w:rPr>
              <w:t>-</w:t>
            </w:r>
          </w:p>
        </w:tc>
      </w:tr>
      <w:tr w:rsidR="00FD6FB5" w:rsidRPr="007009EE">
        <w:trPr>
          <w:gridAfter w:val="1"/>
          <w:wAfter w:w="18" w:type="dxa"/>
          <w:cantSplit/>
        </w:trPr>
        <w:tc>
          <w:tcPr>
            <w:tcW w:w="1725" w:type="dxa"/>
            <w:tcBorders>
              <w:top w:val="single" w:sz="6" w:space="0" w:color="auto"/>
              <w:bottom w:val="single" w:sz="6" w:space="0" w:color="auto"/>
            </w:tcBorders>
            <w:shd w:val="clear" w:color="auto" w:fill="FFFFFF"/>
            <w:vAlign w:val="center"/>
          </w:tcPr>
          <w:p w:rsidR="00FD6FB5" w:rsidRPr="007009EE" w:rsidRDefault="00FD6FB5">
            <w:pPr>
              <w:suppressAutoHyphens/>
              <w:jc w:val="center"/>
              <w:rPr>
                <w:color w:val="000000"/>
                <w:spacing w:val="-3"/>
                <w:sz w:val="22"/>
                <w:szCs w:val="22"/>
              </w:rPr>
            </w:pPr>
            <w:r w:rsidRPr="007009EE">
              <w:rPr>
                <w:color w:val="000000"/>
                <w:spacing w:val="-3"/>
                <w:sz w:val="22"/>
                <w:szCs w:val="22"/>
              </w:rPr>
              <w:t>CO</w:t>
            </w:r>
          </w:p>
        </w:tc>
        <w:tc>
          <w:tcPr>
            <w:tcW w:w="2423" w:type="dxa"/>
            <w:tcBorders>
              <w:top w:val="single" w:sz="6" w:space="0" w:color="auto"/>
              <w:bottom w:val="sing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0.02195</w:t>
            </w:r>
          </w:p>
        </w:tc>
        <w:tc>
          <w:tcPr>
            <w:tcW w:w="2423" w:type="dxa"/>
            <w:tcBorders>
              <w:top w:val="single" w:sz="6" w:space="0" w:color="auto"/>
              <w:bottom w:val="sing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9.957</w:t>
            </w:r>
          </w:p>
        </w:tc>
        <w:tc>
          <w:tcPr>
            <w:tcW w:w="2339" w:type="dxa"/>
            <w:tcBorders>
              <w:top w:val="single" w:sz="6" w:space="0" w:color="auto"/>
              <w:bottom w:val="sing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1,326.2</w:t>
            </w:r>
          </w:p>
        </w:tc>
      </w:tr>
      <w:tr w:rsidR="00FD6FB5" w:rsidRPr="007009EE">
        <w:trPr>
          <w:gridAfter w:val="1"/>
          <w:wAfter w:w="18" w:type="dxa"/>
          <w:cantSplit/>
        </w:trPr>
        <w:tc>
          <w:tcPr>
            <w:tcW w:w="1725" w:type="dxa"/>
            <w:tcBorders>
              <w:top w:val="single" w:sz="6" w:space="0" w:color="auto"/>
              <w:bottom w:val="double" w:sz="6" w:space="0" w:color="auto"/>
            </w:tcBorders>
            <w:shd w:val="clear" w:color="auto" w:fill="FFFFFF"/>
            <w:vAlign w:val="center"/>
          </w:tcPr>
          <w:p w:rsidR="00FD6FB5" w:rsidRPr="007009EE" w:rsidRDefault="00FD6FB5">
            <w:pPr>
              <w:suppressAutoHyphens/>
              <w:jc w:val="center"/>
              <w:rPr>
                <w:color w:val="000000"/>
                <w:spacing w:val="-3"/>
                <w:sz w:val="22"/>
                <w:szCs w:val="22"/>
              </w:rPr>
            </w:pPr>
            <w:r w:rsidRPr="007009EE">
              <w:rPr>
                <w:color w:val="000000"/>
                <w:spacing w:val="-3"/>
                <w:sz w:val="22"/>
                <w:szCs w:val="22"/>
              </w:rPr>
              <w:t>VOC</w:t>
            </w:r>
          </w:p>
        </w:tc>
        <w:tc>
          <w:tcPr>
            <w:tcW w:w="2423" w:type="dxa"/>
            <w:tcBorders>
              <w:top w:val="single" w:sz="6" w:space="0" w:color="auto"/>
              <w:bottom w:val="doub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0.00108</w:t>
            </w:r>
          </w:p>
        </w:tc>
        <w:tc>
          <w:tcPr>
            <w:tcW w:w="2423" w:type="dxa"/>
            <w:tcBorders>
              <w:top w:val="single" w:sz="6" w:space="0" w:color="auto"/>
              <w:bottom w:val="doub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0.49</w:t>
            </w:r>
          </w:p>
        </w:tc>
        <w:tc>
          <w:tcPr>
            <w:tcW w:w="2339" w:type="dxa"/>
            <w:tcBorders>
              <w:top w:val="single" w:sz="6" w:space="0" w:color="auto"/>
              <w:bottom w:val="double" w:sz="6" w:space="0" w:color="auto"/>
            </w:tcBorders>
          </w:tcPr>
          <w:p w:rsidR="00FD6FB5" w:rsidRPr="007009EE" w:rsidRDefault="00FD6FB5">
            <w:pPr>
              <w:suppressAutoHyphens/>
              <w:jc w:val="center"/>
              <w:rPr>
                <w:color w:val="0000FF"/>
                <w:spacing w:val="-3"/>
                <w:sz w:val="22"/>
                <w:szCs w:val="22"/>
              </w:rPr>
            </w:pPr>
            <w:r w:rsidRPr="007009EE">
              <w:rPr>
                <w:color w:val="0000FF"/>
                <w:spacing w:val="-3"/>
                <w:sz w:val="22"/>
                <w:szCs w:val="22"/>
              </w:rPr>
              <w:t>114.2</w:t>
            </w:r>
          </w:p>
        </w:tc>
      </w:tr>
    </w:tbl>
    <w:p w:rsidR="00FD6FB5" w:rsidRDefault="00FD6FB5">
      <w:pPr>
        <w:suppressAutoHyphens/>
        <w:ind w:left="540"/>
        <w:jc w:val="both"/>
        <w:rPr>
          <w:color w:val="000000"/>
          <w:spacing w:val="-3"/>
        </w:rPr>
      </w:pPr>
      <w:r>
        <w:rPr>
          <w:i/>
          <w:iCs/>
          <w:color w:val="FF0000"/>
          <w:spacing w:val="-3"/>
          <w:sz w:val="20"/>
        </w:rPr>
        <w:t>NOTE: If a different control efficiency than the one from table 2 (above) is being used then recalculate EF by multiplying the new control efficiency by the emission factors in Table 1 and recalculate the emissions concentration in attachment III.</w:t>
      </w:r>
      <w:r w:rsidR="00040B72">
        <w:rPr>
          <w:i/>
          <w:iCs/>
          <w:color w:val="FF0000"/>
          <w:spacing w:val="-3"/>
          <w:sz w:val="20"/>
        </w:rPr>
        <w:t xml:space="preserve"> </w:t>
      </w:r>
      <w:r w:rsidR="00573152">
        <w:rPr>
          <w:i/>
          <w:iCs/>
          <w:color w:val="FF0000"/>
          <w:spacing w:val="-3"/>
          <w:sz w:val="20"/>
        </w:rPr>
        <w:t>*</w:t>
      </w:r>
      <w:r w:rsidR="00040B72">
        <w:rPr>
          <w:i/>
          <w:iCs/>
          <w:color w:val="FF0000"/>
          <w:spacing w:val="-3"/>
          <w:sz w:val="20"/>
        </w:rPr>
        <w:t>Also note that afte</w:t>
      </w:r>
      <w:r w:rsidR="00573152">
        <w:rPr>
          <w:i/>
          <w:iCs/>
          <w:color w:val="FF0000"/>
          <w:spacing w:val="-3"/>
          <w:sz w:val="20"/>
        </w:rPr>
        <w:t xml:space="preserve">r </w:t>
      </w:r>
      <w:r w:rsidR="00040B72">
        <w:rPr>
          <w:i/>
          <w:iCs/>
          <w:color w:val="FF0000"/>
          <w:spacing w:val="-3"/>
          <w:sz w:val="20"/>
        </w:rPr>
        <w:t xml:space="preserve">1/1/2014, Rule 4702 requires 11 ppmv </w:t>
      </w:r>
      <w:r w:rsidR="00040B72" w:rsidRPr="00040B72">
        <w:rPr>
          <w:i/>
          <w:iCs/>
          <w:color w:val="FF0000"/>
          <w:spacing w:val="-3"/>
          <w:sz w:val="20"/>
        </w:rPr>
        <w:t>NO</w:t>
      </w:r>
      <w:r w:rsidR="00040B72" w:rsidRPr="00040B72">
        <w:rPr>
          <w:i/>
          <w:iCs/>
          <w:color w:val="FF0000"/>
          <w:spacing w:val="-3"/>
          <w:sz w:val="20"/>
          <w:vertAlign w:val="subscript"/>
        </w:rPr>
        <w:t>X</w:t>
      </w:r>
      <w:r w:rsidR="00040B72">
        <w:rPr>
          <w:i/>
          <w:iCs/>
          <w:color w:val="FF0000"/>
          <w:spacing w:val="-3"/>
          <w:sz w:val="20"/>
        </w:rPr>
        <w:t xml:space="preserve"> @ 15% O2 controlled emission factor.</w:t>
      </w:r>
    </w:p>
    <w:p w:rsidR="00FD6FB5" w:rsidRDefault="00FD6FB5">
      <w:pPr>
        <w:suppressAutoHyphens/>
        <w:ind w:left="720"/>
        <w:jc w:val="both"/>
        <w:rPr>
          <w:color w:val="000000"/>
          <w:spacing w:val="-3"/>
        </w:rPr>
      </w:pPr>
    </w:p>
    <w:p w:rsidR="00FD6FB5" w:rsidRDefault="00FD6FB5">
      <w:pPr>
        <w:pStyle w:val="Heading7"/>
        <w:tabs>
          <w:tab w:val="left" w:pos="1080"/>
        </w:tabs>
        <w:ind w:left="1080" w:hanging="540"/>
      </w:pPr>
      <w:r>
        <w:t>C.</w:t>
      </w:r>
      <w:r>
        <w:tab/>
        <w:t>Calculations</w:t>
      </w:r>
    </w:p>
    <w:p w:rsidR="00FD6FB5" w:rsidRDefault="00FD6FB5">
      <w:pPr>
        <w:suppressAutoHyphens/>
        <w:ind w:left="720"/>
        <w:jc w:val="both"/>
        <w:rPr>
          <w:spacing w:val="-3"/>
        </w:rPr>
      </w:pPr>
    </w:p>
    <w:p w:rsidR="00FD6FB5" w:rsidRDefault="00FD6FB5">
      <w:pPr>
        <w:pStyle w:val="Heading8"/>
        <w:numPr>
          <w:ilvl w:val="0"/>
          <w:numId w:val="0"/>
        </w:numPr>
        <w:ind w:left="1080"/>
      </w:pPr>
      <w:r>
        <w:t>1.</w:t>
      </w:r>
      <w:r>
        <w:tab/>
        <w:t>Pre-Project Potential to Emit, (PE</w:t>
      </w:r>
      <w:r>
        <w:rPr>
          <w:vertAlign w:val="subscript"/>
        </w:rPr>
        <w:t>1</w:t>
      </w:r>
      <w:r>
        <w:t>)</w:t>
      </w:r>
    </w:p>
    <w:p w:rsidR="00FD6FB5" w:rsidRDefault="00FD6FB5">
      <w:pPr>
        <w:suppressAutoHyphens/>
        <w:jc w:val="both"/>
        <w:rPr>
          <w:spacing w:val="-3"/>
        </w:rPr>
      </w:pPr>
    </w:p>
    <w:p w:rsidR="00FD6FB5" w:rsidRDefault="00FD6FB5">
      <w:pPr>
        <w:suppressAutoHyphens/>
        <w:ind w:left="1440"/>
        <w:jc w:val="both"/>
        <w:rPr>
          <w:spacing w:val="-3"/>
        </w:rPr>
      </w:pPr>
      <w:r>
        <w:rPr>
          <w:spacing w:val="-3"/>
        </w:rPr>
        <w:t>Since this is a new emissions unit, the PE</w:t>
      </w:r>
      <w:r>
        <w:rPr>
          <w:spacing w:val="-3"/>
          <w:vertAlign w:val="subscript"/>
        </w:rPr>
        <w:t>1</w:t>
      </w:r>
      <w:r>
        <w:rPr>
          <w:spacing w:val="-3"/>
        </w:rPr>
        <w:t xml:space="preserve"> = 0</w:t>
      </w:r>
    </w:p>
    <w:p w:rsidR="00FD6FB5" w:rsidRDefault="00FD6FB5">
      <w:pPr>
        <w:suppressAutoHyphens/>
        <w:ind w:left="1440"/>
        <w:jc w:val="both"/>
        <w:rPr>
          <w:spacing w:val="-3"/>
        </w:rPr>
      </w:pPr>
    </w:p>
    <w:p w:rsidR="00FD6FB5" w:rsidRDefault="00FD6FB5">
      <w:pPr>
        <w:suppressAutoHyphens/>
        <w:jc w:val="both"/>
        <w:rPr>
          <w:i/>
          <w:iCs/>
          <w:color w:val="FF0000"/>
          <w:spacing w:val="-3"/>
        </w:rPr>
      </w:pPr>
      <w:r>
        <w:rPr>
          <w:spacing w:val="-3"/>
        </w:rPr>
        <w:tab/>
      </w:r>
      <w:r>
        <w:rPr>
          <w:i/>
          <w:iCs/>
          <w:color w:val="FF0000"/>
          <w:spacing w:val="-3"/>
        </w:rPr>
        <w:t>OR</w:t>
      </w:r>
    </w:p>
    <w:p w:rsidR="00FD6FB5" w:rsidRDefault="00FD6FB5">
      <w:pPr>
        <w:suppressAutoHyphens/>
        <w:jc w:val="both"/>
        <w:rPr>
          <w:i/>
          <w:iCs/>
          <w:color w:val="FF0000"/>
          <w:spacing w:val="-3"/>
        </w:rPr>
      </w:pPr>
    </w:p>
    <w:p w:rsidR="00FD6FB5" w:rsidRDefault="00FD6FB5">
      <w:pPr>
        <w:suppressAutoHyphens/>
        <w:ind w:left="1440"/>
        <w:jc w:val="both"/>
        <w:rPr>
          <w:color w:val="0000FF"/>
          <w:spacing w:val="-3"/>
        </w:rPr>
      </w:pPr>
      <w:r>
        <w:rPr>
          <w:color w:val="0000FF"/>
        </w:rPr>
        <w:t>The daily, annual, and quarterly pre-project emissions are shown below.</w:t>
      </w:r>
    </w:p>
    <w:p w:rsidR="00FD6FB5" w:rsidRDefault="00FD6FB5">
      <w:pPr>
        <w:suppressAutoHyphens/>
        <w:ind w:left="1440"/>
        <w:jc w:val="both"/>
        <w:rPr>
          <w:spacing w:val="-3"/>
        </w:rPr>
      </w:pPr>
    </w:p>
    <w:tbl>
      <w:tblPr>
        <w:tblW w:w="0" w:type="auto"/>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0"/>
        <w:gridCol w:w="1620"/>
        <w:gridCol w:w="1800"/>
        <w:gridCol w:w="1800"/>
      </w:tblGrid>
      <w:tr w:rsidR="00FD6FB5" w:rsidTr="006B0360">
        <w:trPr>
          <w:cantSplit/>
          <w:trHeight w:val="209"/>
        </w:trPr>
        <w:tc>
          <w:tcPr>
            <w:tcW w:w="7020" w:type="dxa"/>
            <w:gridSpan w:val="4"/>
            <w:tcBorders>
              <w:top w:val="double" w:sz="4" w:space="0" w:color="auto"/>
              <w:left w:val="double" w:sz="4" w:space="0" w:color="auto"/>
              <w:bottom w:val="double" w:sz="6" w:space="0" w:color="000000"/>
              <w:right w:val="double" w:sz="4" w:space="0" w:color="auto"/>
            </w:tcBorders>
            <w:shd w:val="clear" w:color="auto" w:fill="auto"/>
            <w:vAlign w:val="center"/>
          </w:tcPr>
          <w:p w:rsidR="00FD6FB5" w:rsidRPr="007009EE" w:rsidRDefault="00FD6FB5" w:rsidP="009A4D6E">
            <w:pPr>
              <w:keepNext/>
              <w:keepLines/>
              <w:spacing w:before="40" w:after="40"/>
              <w:jc w:val="center"/>
              <w:rPr>
                <w:b/>
                <w:bCs/>
                <w:sz w:val="22"/>
                <w:szCs w:val="22"/>
                <w:vertAlign w:val="subscript"/>
              </w:rPr>
            </w:pPr>
            <w:r w:rsidRPr="007009EE">
              <w:rPr>
                <w:b/>
                <w:bCs/>
                <w:sz w:val="22"/>
                <w:szCs w:val="22"/>
              </w:rPr>
              <w:t>Pre-Project Potential to Emit, PE</w:t>
            </w:r>
            <w:r w:rsidRPr="007009EE">
              <w:rPr>
                <w:b/>
                <w:bCs/>
                <w:sz w:val="22"/>
                <w:szCs w:val="22"/>
                <w:vertAlign w:val="subscript"/>
              </w:rPr>
              <w:t>1</w:t>
            </w:r>
          </w:p>
        </w:tc>
      </w:tr>
      <w:tr w:rsidR="00FD6FB5" w:rsidTr="00737653">
        <w:trPr>
          <w:cantSplit/>
          <w:trHeight w:val="149"/>
        </w:trPr>
        <w:tc>
          <w:tcPr>
            <w:tcW w:w="1800" w:type="dxa"/>
            <w:tcBorders>
              <w:top w:val="double" w:sz="6" w:space="0" w:color="000000"/>
              <w:left w:val="double" w:sz="6" w:space="0" w:color="000000"/>
              <w:bottom w:val="double" w:sz="6" w:space="0" w:color="auto"/>
            </w:tcBorders>
            <w:shd w:val="clear" w:color="auto" w:fill="auto"/>
            <w:vAlign w:val="center"/>
          </w:tcPr>
          <w:p w:rsidR="00FD6FB5" w:rsidRPr="007009EE" w:rsidRDefault="00FD6FB5">
            <w:pPr>
              <w:jc w:val="center"/>
              <w:rPr>
                <w:b/>
                <w:bCs/>
                <w:sz w:val="22"/>
                <w:szCs w:val="22"/>
              </w:rPr>
            </w:pPr>
            <w:r w:rsidRPr="007009EE">
              <w:rPr>
                <w:b/>
                <w:bCs/>
                <w:sz w:val="22"/>
                <w:szCs w:val="22"/>
              </w:rPr>
              <w:t>Pollutant</w:t>
            </w:r>
          </w:p>
        </w:tc>
        <w:tc>
          <w:tcPr>
            <w:tcW w:w="1620" w:type="dxa"/>
            <w:tcBorders>
              <w:top w:val="double" w:sz="6" w:space="0" w:color="000000"/>
              <w:bottom w:val="double" w:sz="6" w:space="0" w:color="auto"/>
            </w:tcBorders>
            <w:shd w:val="clear" w:color="auto" w:fill="auto"/>
            <w:vAlign w:val="center"/>
          </w:tcPr>
          <w:p w:rsidR="00FD6FB5" w:rsidRPr="007009EE" w:rsidRDefault="00FD6FB5">
            <w:pPr>
              <w:keepNext/>
              <w:keepLines/>
              <w:jc w:val="center"/>
              <w:rPr>
                <w:b/>
                <w:bCs/>
                <w:sz w:val="22"/>
                <w:szCs w:val="22"/>
              </w:rPr>
            </w:pPr>
            <w:r w:rsidRPr="007009EE">
              <w:rPr>
                <w:b/>
                <w:bCs/>
                <w:sz w:val="22"/>
                <w:szCs w:val="22"/>
              </w:rPr>
              <w:t>Daily PE</w:t>
            </w:r>
          </w:p>
        </w:tc>
        <w:tc>
          <w:tcPr>
            <w:tcW w:w="1800" w:type="dxa"/>
            <w:tcBorders>
              <w:top w:val="double" w:sz="6" w:space="0" w:color="000000"/>
              <w:bottom w:val="double" w:sz="6" w:space="0" w:color="auto"/>
            </w:tcBorders>
            <w:shd w:val="clear" w:color="auto" w:fill="auto"/>
            <w:vAlign w:val="center"/>
          </w:tcPr>
          <w:p w:rsidR="00FD6FB5" w:rsidRPr="007009EE" w:rsidRDefault="00FD6FB5">
            <w:pPr>
              <w:keepNext/>
              <w:keepLines/>
              <w:jc w:val="center"/>
              <w:rPr>
                <w:b/>
                <w:bCs/>
                <w:sz w:val="22"/>
                <w:szCs w:val="22"/>
              </w:rPr>
            </w:pPr>
            <w:r w:rsidRPr="007009EE">
              <w:rPr>
                <w:b/>
                <w:bCs/>
                <w:sz w:val="22"/>
                <w:szCs w:val="22"/>
              </w:rPr>
              <w:t>Annual PE</w:t>
            </w:r>
          </w:p>
        </w:tc>
        <w:tc>
          <w:tcPr>
            <w:tcW w:w="1800" w:type="dxa"/>
            <w:tcBorders>
              <w:top w:val="double" w:sz="6" w:space="0" w:color="000000"/>
              <w:bottom w:val="double" w:sz="6" w:space="0" w:color="auto"/>
              <w:right w:val="double" w:sz="4" w:space="0" w:color="auto"/>
            </w:tcBorders>
            <w:shd w:val="clear" w:color="auto" w:fill="auto"/>
            <w:vAlign w:val="center"/>
          </w:tcPr>
          <w:p w:rsidR="00FD6FB5" w:rsidRPr="007009EE" w:rsidRDefault="00FD6FB5">
            <w:pPr>
              <w:keepNext/>
              <w:keepLines/>
              <w:jc w:val="center"/>
              <w:rPr>
                <w:b/>
                <w:bCs/>
                <w:sz w:val="22"/>
                <w:szCs w:val="22"/>
              </w:rPr>
            </w:pPr>
            <w:r w:rsidRPr="007009EE">
              <w:rPr>
                <w:b/>
                <w:bCs/>
                <w:sz w:val="22"/>
                <w:szCs w:val="22"/>
              </w:rPr>
              <w:t>Quarterly PE</w:t>
            </w:r>
          </w:p>
        </w:tc>
      </w:tr>
      <w:tr w:rsidR="00FD6FB5">
        <w:tc>
          <w:tcPr>
            <w:tcW w:w="1800" w:type="dxa"/>
            <w:tcBorders>
              <w:top w:val="double" w:sz="6" w:space="0" w:color="auto"/>
              <w:left w:val="double" w:sz="6" w:space="0" w:color="000000"/>
            </w:tcBorders>
          </w:tcPr>
          <w:p w:rsidR="00FD6FB5" w:rsidRPr="007009EE" w:rsidRDefault="00FD6FB5">
            <w:pPr>
              <w:suppressAutoHyphens/>
              <w:jc w:val="center"/>
              <w:rPr>
                <w:spacing w:val="-3"/>
                <w:sz w:val="22"/>
                <w:szCs w:val="22"/>
              </w:rPr>
            </w:pPr>
            <w:r w:rsidRPr="007009EE">
              <w:rPr>
                <w:noProof/>
                <w:spacing w:val="-3"/>
                <w:sz w:val="22"/>
                <w:szCs w:val="22"/>
              </w:rPr>
              <w:t>NO</w:t>
            </w:r>
            <w:r w:rsidRPr="007009EE">
              <w:rPr>
                <w:noProof/>
                <w:spacing w:val="-3"/>
                <w:sz w:val="22"/>
                <w:szCs w:val="22"/>
                <w:vertAlign w:val="subscript"/>
              </w:rPr>
              <w:t>x</w:t>
            </w:r>
          </w:p>
        </w:tc>
        <w:tc>
          <w:tcPr>
            <w:tcW w:w="1620" w:type="dxa"/>
            <w:tcBorders>
              <w:top w:val="double" w:sz="6" w:space="0" w:color="auto"/>
            </w:tcBorders>
          </w:tcPr>
          <w:p w:rsidR="00FD6FB5" w:rsidRPr="007009EE" w:rsidRDefault="00FD6FB5">
            <w:pPr>
              <w:keepNext/>
              <w:keepLines/>
              <w:jc w:val="center"/>
              <w:rPr>
                <w:color w:val="0000FF"/>
                <w:sz w:val="22"/>
                <w:szCs w:val="22"/>
              </w:rPr>
            </w:pPr>
            <w:r w:rsidRPr="007009EE">
              <w:rPr>
                <w:color w:val="0000FF"/>
                <w:sz w:val="22"/>
                <w:szCs w:val="22"/>
              </w:rPr>
              <w:t>[  ]</w:t>
            </w:r>
          </w:p>
        </w:tc>
        <w:tc>
          <w:tcPr>
            <w:tcW w:w="1800" w:type="dxa"/>
            <w:tcBorders>
              <w:top w:val="double" w:sz="6" w:space="0" w:color="auto"/>
            </w:tcBorders>
          </w:tcPr>
          <w:p w:rsidR="00FD6FB5" w:rsidRPr="007009EE" w:rsidRDefault="00FD6FB5">
            <w:pPr>
              <w:keepNext/>
              <w:keepLines/>
              <w:jc w:val="center"/>
              <w:rPr>
                <w:color w:val="0000FF"/>
                <w:sz w:val="22"/>
                <w:szCs w:val="22"/>
              </w:rPr>
            </w:pPr>
            <w:r w:rsidRPr="007009EE">
              <w:rPr>
                <w:color w:val="0000FF"/>
                <w:sz w:val="22"/>
                <w:szCs w:val="22"/>
              </w:rPr>
              <w:t>[  ]</w:t>
            </w:r>
          </w:p>
        </w:tc>
        <w:tc>
          <w:tcPr>
            <w:tcW w:w="1800" w:type="dxa"/>
            <w:tcBorders>
              <w:top w:val="double" w:sz="6" w:space="0" w:color="auto"/>
              <w:right w:val="double" w:sz="4" w:space="0" w:color="auto"/>
            </w:tcBorders>
          </w:tcPr>
          <w:p w:rsidR="00FD6FB5" w:rsidRPr="007009EE" w:rsidRDefault="00FD6FB5">
            <w:pPr>
              <w:keepNext/>
              <w:keepLines/>
              <w:jc w:val="center"/>
              <w:rPr>
                <w:color w:val="0000FF"/>
                <w:sz w:val="22"/>
                <w:szCs w:val="22"/>
              </w:rPr>
            </w:pPr>
            <w:r w:rsidRPr="007009EE">
              <w:rPr>
                <w:color w:val="0000FF"/>
                <w:sz w:val="22"/>
                <w:szCs w:val="22"/>
              </w:rPr>
              <w:t>[  ]</w:t>
            </w:r>
          </w:p>
        </w:tc>
      </w:tr>
      <w:tr w:rsidR="00FD6FB5">
        <w:tc>
          <w:tcPr>
            <w:tcW w:w="1800" w:type="dxa"/>
            <w:tcBorders>
              <w:left w:val="double" w:sz="6" w:space="0" w:color="000000"/>
            </w:tcBorders>
          </w:tcPr>
          <w:p w:rsidR="00FD6FB5" w:rsidRPr="007009EE" w:rsidRDefault="00FD6FB5">
            <w:pPr>
              <w:suppressAutoHyphens/>
              <w:jc w:val="center"/>
              <w:rPr>
                <w:spacing w:val="-3"/>
                <w:sz w:val="22"/>
                <w:szCs w:val="22"/>
              </w:rPr>
            </w:pPr>
            <w:r w:rsidRPr="007009EE">
              <w:rPr>
                <w:noProof/>
                <w:spacing w:val="-3"/>
                <w:sz w:val="22"/>
                <w:szCs w:val="22"/>
              </w:rPr>
              <w:t>SO</w:t>
            </w:r>
            <w:r w:rsidRPr="007009EE">
              <w:rPr>
                <w:noProof/>
                <w:spacing w:val="-3"/>
                <w:sz w:val="22"/>
                <w:szCs w:val="22"/>
                <w:vertAlign w:val="subscript"/>
              </w:rPr>
              <w:t>x</w:t>
            </w:r>
          </w:p>
        </w:tc>
        <w:tc>
          <w:tcPr>
            <w:tcW w:w="1620" w:type="dxa"/>
          </w:tcPr>
          <w:p w:rsidR="00FD6FB5" w:rsidRPr="007009EE" w:rsidRDefault="00FD6FB5">
            <w:pPr>
              <w:keepNext/>
              <w:keepLines/>
              <w:jc w:val="center"/>
              <w:rPr>
                <w:color w:val="0000FF"/>
                <w:sz w:val="22"/>
                <w:szCs w:val="22"/>
              </w:rPr>
            </w:pPr>
            <w:r w:rsidRPr="007009EE">
              <w:rPr>
                <w:color w:val="0000FF"/>
                <w:sz w:val="22"/>
                <w:szCs w:val="22"/>
              </w:rPr>
              <w:t>[  ]</w:t>
            </w:r>
          </w:p>
        </w:tc>
        <w:tc>
          <w:tcPr>
            <w:tcW w:w="1800" w:type="dxa"/>
          </w:tcPr>
          <w:p w:rsidR="00FD6FB5" w:rsidRPr="007009EE" w:rsidRDefault="00FD6FB5">
            <w:pPr>
              <w:keepNext/>
              <w:keepLines/>
              <w:jc w:val="center"/>
              <w:rPr>
                <w:color w:val="0000FF"/>
                <w:sz w:val="22"/>
                <w:szCs w:val="22"/>
              </w:rPr>
            </w:pPr>
            <w:r w:rsidRPr="007009EE">
              <w:rPr>
                <w:color w:val="0000FF"/>
                <w:sz w:val="22"/>
                <w:szCs w:val="22"/>
              </w:rPr>
              <w:t>[  ]</w:t>
            </w:r>
          </w:p>
        </w:tc>
        <w:tc>
          <w:tcPr>
            <w:tcW w:w="1800" w:type="dxa"/>
            <w:tcBorders>
              <w:right w:val="double" w:sz="4" w:space="0" w:color="auto"/>
            </w:tcBorders>
          </w:tcPr>
          <w:p w:rsidR="00FD6FB5" w:rsidRPr="007009EE" w:rsidRDefault="00FD6FB5">
            <w:pPr>
              <w:keepNext/>
              <w:keepLines/>
              <w:jc w:val="center"/>
              <w:rPr>
                <w:color w:val="0000FF"/>
                <w:sz w:val="22"/>
                <w:szCs w:val="22"/>
              </w:rPr>
            </w:pPr>
            <w:r w:rsidRPr="007009EE">
              <w:rPr>
                <w:color w:val="0000FF"/>
                <w:sz w:val="22"/>
                <w:szCs w:val="22"/>
              </w:rPr>
              <w:t>[  ]</w:t>
            </w:r>
          </w:p>
        </w:tc>
      </w:tr>
      <w:tr w:rsidR="00FD6FB5">
        <w:tc>
          <w:tcPr>
            <w:tcW w:w="1800" w:type="dxa"/>
            <w:tcBorders>
              <w:left w:val="double" w:sz="6" w:space="0" w:color="000000"/>
            </w:tcBorders>
          </w:tcPr>
          <w:p w:rsidR="00FD6FB5" w:rsidRPr="007009EE" w:rsidRDefault="00FD6FB5">
            <w:pPr>
              <w:suppressAutoHyphens/>
              <w:jc w:val="center"/>
              <w:rPr>
                <w:spacing w:val="-3"/>
                <w:sz w:val="22"/>
                <w:szCs w:val="22"/>
              </w:rPr>
            </w:pPr>
            <w:r w:rsidRPr="007009EE">
              <w:rPr>
                <w:spacing w:val="-3"/>
                <w:sz w:val="22"/>
                <w:szCs w:val="22"/>
              </w:rPr>
              <w:t>PM</w:t>
            </w:r>
            <w:r w:rsidRPr="007009EE">
              <w:rPr>
                <w:spacing w:val="-3"/>
                <w:sz w:val="22"/>
                <w:szCs w:val="22"/>
                <w:vertAlign w:val="subscript"/>
              </w:rPr>
              <w:t>10</w:t>
            </w:r>
          </w:p>
        </w:tc>
        <w:tc>
          <w:tcPr>
            <w:tcW w:w="1620" w:type="dxa"/>
          </w:tcPr>
          <w:p w:rsidR="00FD6FB5" w:rsidRPr="007009EE" w:rsidRDefault="00FD6FB5">
            <w:pPr>
              <w:keepNext/>
              <w:keepLines/>
              <w:jc w:val="center"/>
              <w:rPr>
                <w:color w:val="0000FF"/>
                <w:sz w:val="22"/>
                <w:szCs w:val="22"/>
              </w:rPr>
            </w:pPr>
            <w:r w:rsidRPr="007009EE">
              <w:rPr>
                <w:color w:val="0000FF"/>
                <w:sz w:val="22"/>
                <w:szCs w:val="22"/>
              </w:rPr>
              <w:t>[  ]</w:t>
            </w:r>
          </w:p>
        </w:tc>
        <w:tc>
          <w:tcPr>
            <w:tcW w:w="1800" w:type="dxa"/>
          </w:tcPr>
          <w:p w:rsidR="00FD6FB5" w:rsidRPr="007009EE" w:rsidRDefault="00FD6FB5">
            <w:pPr>
              <w:keepNext/>
              <w:keepLines/>
              <w:jc w:val="center"/>
              <w:rPr>
                <w:color w:val="0000FF"/>
                <w:sz w:val="22"/>
                <w:szCs w:val="22"/>
              </w:rPr>
            </w:pPr>
            <w:r w:rsidRPr="007009EE">
              <w:rPr>
                <w:color w:val="0000FF"/>
                <w:sz w:val="22"/>
                <w:szCs w:val="22"/>
              </w:rPr>
              <w:t>[  ]</w:t>
            </w:r>
          </w:p>
        </w:tc>
        <w:tc>
          <w:tcPr>
            <w:tcW w:w="1800" w:type="dxa"/>
            <w:tcBorders>
              <w:right w:val="double" w:sz="4" w:space="0" w:color="auto"/>
            </w:tcBorders>
          </w:tcPr>
          <w:p w:rsidR="00FD6FB5" w:rsidRPr="007009EE" w:rsidRDefault="00FD6FB5">
            <w:pPr>
              <w:keepNext/>
              <w:keepLines/>
              <w:jc w:val="center"/>
              <w:rPr>
                <w:color w:val="0000FF"/>
                <w:sz w:val="22"/>
                <w:szCs w:val="22"/>
              </w:rPr>
            </w:pPr>
            <w:r w:rsidRPr="007009EE">
              <w:rPr>
                <w:color w:val="0000FF"/>
                <w:sz w:val="22"/>
                <w:szCs w:val="22"/>
              </w:rPr>
              <w:t>[  ]</w:t>
            </w:r>
          </w:p>
        </w:tc>
      </w:tr>
      <w:tr w:rsidR="00FD6FB5">
        <w:tc>
          <w:tcPr>
            <w:tcW w:w="1800" w:type="dxa"/>
            <w:tcBorders>
              <w:left w:val="double" w:sz="6" w:space="0" w:color="000000"/>
              <w:bottom w:val="single" w:sz="6" w:space="0" w:color="000000"/>
            </w:tcBorders>
          </w:tcPr>
          <w:p w:rsidR="00FD6FB5" w:rsidRPr="007009EE" w:rsidRDefault="00FD6FB5">
            <w:pPr>
              <w:suppressAutoHyphens/>
              <w:jc w:val="center"/>
              <w:rPr>
                <w:spacing w:val="-3"/>
                <w:sz w:val="22"/>
                <w:szCs w:val="22"/>
              </w:rPr>
            </w:pPr>
            <w:r w:rsidRPr="007009EE">
              <w:rPr>
                <w:spacing w:val="-3"/>
                <w:sz w:val="22"/>
                <w:szCs w:val="22"/>
              </w:rPr>
              <w:t>CO</w:t>
            </w:r>
          </w:p>
        </w:tc>
        <w:tc>
          <w:tcPr>
            <w:tcW w:w="1620" w:type="dxa"/>
          </w:tcPr>
          <w:p w:rsidR="00FD6FB5" w:rsidRPr="007009EE" w:rsidRDefault="00FD6FB5">
            <w:pPr>
              <w:keepNext/>
              <w:keepLines/>
              <w:jc w:val="center"/>
              <w:rPr>
                <w:color w:val="0000FF"/>
                <w:sz w:val="22"/>
                <w:szCs w:val="22"/>
              </w:rPr>
            </w:pPr>
            <w:r w:rsidRPr="007009EE">
              <w:rPr>
                <w:color w:val="0000FF"/>
                <w:sz w:val="22"/>
                <w:szCs w:val="22"/>
              </w:rPr>
              <w:t>[  ]</w:t>
            </w:r>
          </w:p>
        </w:tc>
        <w:tc>
          <w:tcPr>
            <w:tcW w:w="1800" w:type="dxa"/>
          </w:tcPr>
          <w:p w:rsidR="00FD6FB5" w:rsidRPr="007009EE" w:rsidRDefault="00FD6FB5">
            <w:pPr>
              <w:keepNext/>
              <w:keepLines/>
              <w:jc w:val="center"/>
              <w:rPr>
                <w:color w:val="0000FF"/>
                <w:sz w:val="22"/>
                <w:szCs w:val="22"/>
              </w:rPr>
            </w:pPr>
            <w:r w:rsidRPr="007009EE">
              <w:rPr>
                <w:color w:val="0000FF"/>
                <w:sz w:val="22"/>
                <w:szCs w:val="22"/>
              </w:rPr>
              <w:t>[  ]</w:t>
            </w:r>
          </w:p>
        </w:tc>
        <w:tc>
          <w:tcPr>
            <w:tcW w:w="1800" w:type="dxa"/>
            <w:tcBorders>
              <w:right w:val="double" w:sz="4" w:space="0" w:color="auto"/>
            </w:tcBorders>
          </w:tcPr>
          <w:p w:rsidR="00FD6FB5" w:rsidRPr="007009EE" w:rsidRDefault="00FD6FB5">
            <w:pPr>
              <w:keepNext/>
              <w:keepLines/>
              <w:jc w:val="center"/>
              <w:rPr>
                <w:color w:val="0000FF"/>
                <w:sz w:val="22"/>
                <w:szCs w:val="22"/>
              </w:rPr>
            </w:pPr>
            <w:r w:rsidRPr="007009EE">
              <w:rPr>
                <w:color w:val="0000FF"/>
                <w:sz w:val="22"/>
                <w:szCs w:val="22"/>
              </w:rPr>
              <w:t>[  ]</w:t>
            </w:r>
          </w:p>
        </w:tc>
      </w:tr>
      <w:tr w:rsidR="00FD6FB5">
        <w:tc>
          <w:tcPr>
            <w:tcW w:w="1800" w:type="dxa"/>
            <w:tcBorders>
              <w:left w:val="double" w:sz="4" w:space="0" w:color="auto"/>
              <w:bottom w:val="double" w:sz="4" w:space="0" w:color="auto"/>
            </w:tcBorders>
          </w:tcPr>
          <w:p w:rsidR="00FD6FB5" w:rsidRPr="007009EE" w:rsidRDefault="00FD6FB5">
            <w:pPr>
              <w:suppressAutoHyphens/>
              <w:jc w:val="center"/>
              <w:rPr>
                <w:spacing w:val="-3"/>
                <w:sz w:val="22"/>
                <w:szCs w:val="22"/>
              </w:rPr>
            </w:pPr>
            <w:r w:rsidRPr="007009EE">
              <w:rPr>
                <w:spacing w:val="-3"/>
                <w:sz w:val="22"/>
                <w:szCs w:val="22"/>
              </w:rPr>
              <w:t>VOC</w:t>
            </w:r>
          </w:p>
        </w:tc>
        <w:tc>
          <w:tcPr>
            <w:tcW w:w="1620" w:type="dxa"/>
            <w:tcBorders>
              <w:bottom w:val="double" w:sz="4" w:space="0" w:color="auto"/>
            </w:tcBorders>
          </w:tcPr>
          <w:p w:rsidR="00FD6FB5" w:rsidRPr="007009EE" w:rsidRDefault="00FD6FB5">
            <w:pPr>
              <w:keepNext/>
              <w:keepLines/>
              <w:framePr w:hSpace="187" w:wrap="notBeside" w:vAnchor="text" w:hAnchor="page" w:x="1970" w:y="73"/>
              <w:jc w:val="center"/>
              <w:rPr>
                <w:color w:val="0000FF"/>
                <w:sz w:val="22"/>
                <w:szCs w:val="22"/>
              </w:rPr>
            </w:pPr>
            <w:r w:rsidRPr="007009EE">
              <w:rPr>
                <w:color w:val="0000FF"/>
                <w:sz w:val="22"/>
                <w:szCs w:val="22"/>
              </w:rPr>
              <w:t>[  ]</w:t>
            </w:r>
          </w:p>
        </w:tc>
        <w:tc>
          <w:tcPr>
            <w:tcW w:w="1800" w:type="dxa"/>
            <w:tcBorders>
              <w:bottom w:val="double" w:sz="4" w:space="0" w:color="auto"/>
            </w:tcBorders>
          </w:tcPr>
          <w:p w:rsidR="00FD6FB5" w:rsidRPr="007009EE" w:rsidRDefault="00FD6FB5">
            <w:pPr>
              <w:keepNext/>
              <w:keepLines/>
              <w:framePr w:hSpace="187" w:wrap="notBeside" w:vAnchor="text" w:hAnchor="page" w:x="1970" w:y="73"/>
              <w:jc w:val="center"/>
              <w:rPr>
                <w:color w:val="0000FF"/>
                <w:sz w:val="22"/>
                <w:szCs w:val="22"/>
              </w:rPr>
            </w:pPr>
            <w:r w:rsidRPr="007009EE">
              <w:rPr>
                <w:color w:val="0000FF"/>
                <w:sz w:val="22"/>
                <w:szCs w:val="22"/>
              </w:rPr>
              <w:t>[  ]</w:t>
            </w:r>
          </w:p>
        </w:tc>
        <w:tc>
          <w:tcPr>
            <w:tcW w:w="1800" w:type="dxa"/>
            <w:tcBorders>
              <w:bottom w:val="double" w:sz="4" w:space="0" w:color="auto"/>
              <w:right w:val="double" w:sz="4" w:space="0" w:color="auto"/>
            </w:tcBorders>
          </w:tcPr>
          <w:p w:rsidR="00FD6FB5" w:rsidRPr="007009EE" w:rsidRDefault="00FD6FB5">
            <w:pPr>
              <w:keepNext/>
              <w:keepLines/>
              <w:framePr w:hSpace="187" w:wrap="notBeside" w:vAnchor="text" w:hAnchor="page" w:x="1970" w:y="73"/>
              <w:jc w:val="center"/>
              <w:rPr>
                <w:color w:val="0000FF"/>
                <w:sz w:val="22"/>
                <w:szCs w:val="22"/>
              </w:rPr>
            </w:pPr>
            <w:r w:rsidRPr="007009EE">
              <w:rPr>
                <w:color w:val="0000FF"/>
                <w:sz w:val="22"/>
                <w:szCs w:val="22"/>
              </w:rPr>
              <w:t>[  ]</w:t>
            </w:r>
          </w:p>
        </w:tc>
      </w:tr>
    </w:tbl>
    <w:p w:rsidR="00FD6FB5" w:rsidRDefault="00FD6FB5">
      <w:pPr>
        <w:suppressAutoHyphens/>
        <w:ind w:left="1440"/>
        <w:jc w:val="both"/>
        <w:rPr>
          <w:spacing w:val="-3"/>
        </w:rPr>
      </w:pPr>
    </w:p>
    <w:p w:rsidR="00FD6FB5" w:rsidRDefault="00FD6FB5">
      <w:pPr>
        <w:numPr>
          <w:ilvl w:val="0"/>
          <w:numId w:val="20"/>
        </w:numPr>
        <w:tabs>
          <w:tab w:val="clear" w:pos="2160"/>
          <w:tab w:val="num" w:pos="1080"/>
        </w:tabs>
        <w:suppressAutoHyphens/>
        <w:ind w:hanging="1080"/>
        <w:jc w:val="both"/>
        <w:rPr>
          <w:b/>
          <w:bCs/>
          <w:spacing w:val="-3"/>
        </w:rPr>
      </w:pPr>
      <w:r>
        <w:rPr>
          <w:b/>
          <w:bCs/>
          <w:spacing w:val="-3"/>
        </w:rPr>
        <w:t>Post Project Potential to Emit, (PE</w:t>
      </w:r>
      <w:r>
        <w:rPr>
          <w:b/>
          <w:bCs/>
          <w:spacing w:val="-3"/>
          <w:vertAlign w:val="subscript"/>
        </w:rPr>
        <w:t>2</w:t>
      </w:r>
      <w:r>
        <w:rPr>
          <w:b/>
          <w:bCs/>
          <w:spacing w:val="-3"/>
        </w:rPr>
        <w:t>)</w:t>
      </w:r>
    </w:p>
    <w:p w:rsidR="00FD6FB5" w:rsidRDefault="00FD6FB5">
      <w:pPr>
        <w:suppressAutoHyphens/>
        <w:ind w:left="1440"/>
        <w:jc w:val="both"/>
        <w:rPr>
          <w:b/>
          <w:bCs/>
          <w:spacing w:val="-3"/>
        </w:rPr>
      </w:pPr>
    </w:p>
    <w:p w:rsidR="00FD6FB5" w:rsidRDefault="00FD6FB5">
      <w:pPr>
        <w:suppressAutoHyphens/>
        <w:ind w:left="1440"/>
        <w:jc w:val="both"/>
        <w:rPr>
          <w:spacing w:val="-3"/>
        </w:rPr>
      </w:pPr>
      <w:r>
        <w:rPr>
          <w:spacing w:val="-3"/>
        </w:rPr>
        <w:t>VOC emissions will be calculated based on the maximum gasoline fuel consumption by using the VOC gasoline emission factor and multiplying that by the engine</w:t>
      </w:r>
      <w:r w:rsidR="008B2F73">
        <w:rPr>
          <w:spacing w:val="-3"/>
        </w:rPr>
        <w:t xml:space="preserve"> bhp</w:t>
      </w:r>
      <w:r>
        <w:rPr>
          <w:spacing w:val="-3"/>
        </w:rPr>
        <w:t xml:space="preserve"> rating.  The calculations are shown below:</w:t>
      </w:r>
    </w:p>
    <w:p w:rsidR="00FD6FB5" w:rsidRDefault="00FD6FB5">
      <w:pPr>
        <w:suppressAutoHyphens/>
        <w:ind w:left="1440"/>
        <w:jc w:val="both"/>
        <w:rPr>
          <w:spacing w:val="-3"/>
        </w:rPr>
      </w:pPr>
    </w:p>
    <w:p w:rsidR="00FD6FB5" w:rsidRDefault="00FD6FB5">
      <w:pPr>
        <w:ind w:left="1440"/>
      </w:pPr>
      <w:r>
        <w:t xml:space="preserve">PE (lb/day) = Emission Factor </w:t>
      </w:r>
      <w:r>
        <w:rPr>
          <w:color w:val="0000FF"/>
        </w:rPr>
        <w:t>[  ]</w:t>
      </w:r>
      <w:r>
        <w:t xml:space="preserve"> (</w:t>
      </w:r>
      <w:r w:rsidR="00573152">
        <w:t>g/bhp-hr</w:t>
      </w:r>
      <w:r>
        <w:t xml:space="preserve">) x Engine </w:t>
      </w:r>
      <w:r w:rsidR="00573152">
        <w:t>B</w:t>
      </w:r>
      <w:r>
        <w:rPr>
          <w:color w:val="0000FF"/>
        </w:rPr>
        <w:t>HP</w:t>
      </w:r>
      <w:r>
        <w:t xml:space="preserve"> rating x 24 hrs/day</w:t>
      </w:r>
    </w:p>
    <w:p w:rsidR="00FD6FB5" w:rsidRDefault="00FD6FB5">
      <w:pPr>
        <w:pStyle w:val="FootnoteText"/>
        <w:rPr>
          <w:rFonts w:ascii="Arial" w:hAnsi="Arial"/>
        </w:rPr>
      </w:pPr>
      <w:r>
        <w:rPr>
          <w:rFonts w:ascii="Arial" w:hAnsi="Arial"/>
        </w:rPr>
        <w:tab/>
      </w:r>
      <w:r>
        <w:rPr>
          <w:rFonts w:ascii="Arial" w:hAnsi="Arial"/>
        </w:rPr>
        <w:tab/>
      </w:r>
    </w:p>
    <w:p w:rsidR="00FD6FB5" w:rsidRDefault="00FD6FB5">
      <w:pPr>
        <w:pStyle w:val="FootnoteText"/>
        <w:ind w:left="720" w:firstLine="720"/>
        <w:rPr>
          <w:rFonts w:ascii="Arial" w:hAnsi="Arial"/>
        </w:rPr>
      </w:pPr>
      <w:r>
        <w:rPr>
          <w:rFonts w:ascii="Arial" w:hAnsi="Arial"/>
        </w:rPr>
        <w:t>PE</w:t>
      </w:r>
      <w:r>
        <w:rPr>
          <w:rFonts w:ascii="Arial" w:hAnsi="Arial"/>
          <w:vertAlign w:val="subscript"/>
        </w:rPr>
        <w:t>NOx</w:t>
      </w:r>
      <w:r>
        <w:rPr>
          <w:rFonts w:ascii="Arial" w:hAnsi="Arial"/>
        </w:rPr>
        <w:t xml:space="preserve"> = 0.</w:t>
      </w:r>
      <w:r w:rsidR="00573152">
        <w:rPr>
          <w:rFonts w:ascii="Arial" w:hAnsi="Arial"/>
        </w:rPr>
        <w:t>249</w:t>
      </w:r>
      <w:r>
        <w:rPr>
          <w:rFonts w:ascii="Arial" w:hAnsi="Arial"/>
        </w:rPr>
        <w:t xml:space="preserve"> </w:t>
      </w:r>
      <w:r w:rsidR="00573152">
        <w:rPr>
          <w:rFonts w:ascii="Arial" w:hAnsi="Arial"/>
        </w:rPr>
        <w:t>g/bhp-hr</w:t>
      </w:r>
      <w:r>
        <w:rPr>
          <w:rFonts w:ascii="Arial" w:hAnsi="Arial"/>
        </w:rPr>
        <w:t xml:space="preserve"> x </w:t>
      </w:r>
      <w:r>
        <w:rPr>
          <w:rFonts w:ascii="Arial" w:hAnsi="Arial"/>
          <w:color w:val="0000FF"/>
        </w:rPr>
        <w:t>[  ]</w:t>
      </w:r>
      <w:r w:rsidR="008B2F73">
        <w:rPr>
          <w:rFonts w:ascii="Arial" w:hAnsi="Arial"/>
        </w:rPr>
        <w:t xml:space="preserve"> bhp</w:t>
      </w:r>
      <w:r>
        <w:rPr>
          <w:rFonts w:ascii="Arial" w:hAnsi="Arial"/>
        </w:rPr>
        <w:t xml:space="preserve"> x 24 (hrs/day) = </w:t>
      </w:r>
      <w:r>
        <w:rPr>
          <w:rFonts w:ascii="Arial" w:hAnsi="Arial"/>
          <w:color w:val="0000FF"/>
        </w:rPr>
        <w:t>[  ]</w:t>
      </w:r>
      <w:r>
        <w:rPr>
          <w:rFonts w:ascii="Arial" w:hAnsi="Arial"/>
        </w:rPr>
        <w:t xml:space="preserve"> lb-NOx/day</w:t>
      </w:r>
    </w:p>
    <w:p w:rsidR="00573152" w:rsidRDefault="00573152" w:rsidP="00573152">
      <w:pPr>
        <w:pStyle w:val="FootnoteText"/>
        <w:ind w:left="720" w:firstLine="720"/>
        <w:rPr>
          <w:rFonts w:ascii="Arial" w:hAnsi="Arial"/>
        </w:rPr>
      </w:pPr>
      <w:r>
        <w:rPr>
          <w:rFonts w:ascii="Arial" w:hAnsi="Arial"/>
        </w:rPr>
        <w:t>PE</w:t>
      </w:r>
      <w:r>
        <w:rPr>
          <w:rFonts w:ascii="Arial" w:hAnsi="Arial"/>
          <w:vertAlign w:val="subscript"/>
        </w:rPr>
        <w:t>SOx</w:t>
      </w:r>
      <w:r>
        <w:rPr>
          <w:rFonts w:ascii="Arial" w:hAnsi="Arial"/>
        </w:rPr>
        <w:t xml:space="preserve"> = 0.</w:t>
      </w:r>
      <w:r w:rsidR="00737653">
        <w:rPr>
          <w:rFonts w:ascii="Arial" w:hAnsi="Arial"/>
        </w:rPr>
        <w:t xml:space="preserve">0577 </w:t>
      </w:r>
      <w:r>
        <w:rPr>
          <w:rFonts w:ascii="Arial" w:hAnsi="Arial"/>
        </w:rPr>
        <w:t xml:space="preserve">g/bhp-hr x </w:t>
      </w:r>
      <w:r>
        <w:rPr>
          <w:rFonts w:ascii="Arial" w:hAnsi="Arial"/>
          <w:color w:val="0000FF"/>
        </w:rPr>
        <w:t>[  ]</w:t>
      </w:r>
      <w:r>
        <w:rPr>
          <w:rFonts w:ascii="Arial" w:hAnsi="Arial"/>
        </w:rPr>
        <w:t xml:space="preserve"> BHP x 24 (hrs/day) = </w:t>
      </w:r>
      <w:r>
        <w:rPr>
          <w:rFonts w:ascii="Arial" w:hAnsi="Arial"/>
          <w:color w:val="0000FF"/>
        </w:rPr>
        <w:t>[  ]</w:t>
      </w:r>
      <w:r>
        <w:rPr>
          <w:rFonts w:ascii="Arial" w:hAnsi="Arial"/>
        </w:rPr>
        <w:t xml:space="preserve"> </w:t>
      </w:r>
      <w:r w:rsidR="008B2F73">
        <w:rPr>
          <w:rFonts w:ascii="Arial" w:hAnsi="Arial"/>
        </w:rPr>
        <w:t>lbs</w:t>
      </w:r>
      <w:r>
        <w:rPr>
          <w:rFonts w:ascii="Arial" w:hAnsi="Arial"/>
        </w:rPr>
        <w:t>-SOx/day</w:t>
      </w:r>
    </w:p>
    <w:p w:rsidR="00573152" w:rsidRDefault="00573152" w:rsidP="00573152">
      <w:pPr>
        <w:pStyle w:val="FootnoteText"/>
        <w:rPr>
          <w:rFonts w:ascii="Arial" w:hAnsi="Arial"/>
        </w:rPr>
      </w:pPr>
    </w:p>
    <w:p w:rsidR="00573152" w:rsidRDefault="00573152" w:rsidP="00573152">
      <w:pPr>
        <w:pStyle w:val="FootnoteText"/>
        <w:ind w:left="720" w:firstLine="720"/>
        <w:rPr>
          <w:rFonts w:ascii="Arial" w:hAnsi="Arial"/>
        </w:rPr>
      </w:pPr>
      <w:r>
        <w:rPr>
          <w:rFonts w:ascii="Arial" w:hAnsi="Arial"/>
        </w:rPr>
        <w:lastRenderedPageBreak/>
        <w:t>PE</w:t>
      </w:r>
      <w:r>
        <w:rPr>
          <w:rFonts w:ascii="Arial" w:hAnsi="Arial"/>
          <w:vertAlign w:val="subscript"/>
        </w:rPr>
        <w:t>PM10</w:t>
      </w:r>
      <w:r>
        <w:rPr>
          <w:rFonts w:ascii="Arial" w:hAnsi="Arial"/>
        </w:rPr>
        <w:t xml:space="preserve"> = 0.327 g/bhp-hr x </w:t>
      </w:r>
      <w:r>
        <w:rPr>
          <w:rFonts w:ascii="Arial" w:hAnsi="Arial"/>
          <w:color w:val="0000FF"/>
        </w:rPr>
        <w:t>[  ]</w:t>
      </w:r>
      <w:r>
        <w:rPr>
          <w:rFonts w:ascii="Arial" w:hAnsi="Arial"/>
        </w:rPr>
        <w:t xml:space="preserve"> BHP x 24 (hrs/day) = </w:t>
      </w:r>
      <w:r>
        <w:rPr>
          <w:rFonts w:ascii="Arial" w:hAnsi="Arial"/>
          <w:color w:val="0000FF"/>
        </w:rPr>
        <w:t>[  ]</w:t>
      </w:r>
      <w:r>
        <w:rPr>
          <w:rFonts w:ascii="Arial" w:hAnsi="Arial"/>
        </w:rPr>
        <w:t xml:space="preserve"> lb-PM</w:t>
      </w:r>
      <w:r>
        <w:rPr>
          <w:rFonts w:ascii="Arial" w:hAnsi="Arial"/>
          <w:vertAlign w:val="subscript"/>
        </w:rPr>
        <w:t>10</w:t>
      </w:r>
      <w:r>
        <w:rPr>
          <w:rFonts w:ascii="Arial" w:hAnsi="Arial"/>
        </w:rPr>
        <w:t>/day</w:t>
      </w:r>
    </w:p>
    <w:p w:rsidR="00FD6FB5" w:rsidRDefault="00FD6FB5">
      <w:pPr>
        <w:pStyle w:val="FootnoteText"/>
        <w:ind w:left="720" w:firstLine="720"/>
        <w:rPr>
          <w:rFonts w:ascii="Arial" w:hAnsi="Arial"/>
        </w:rPr>
      </w:pPr>
    </w:p>
    <w:p w:rsidR="00FD6FB5" w:rsidRDefault="00FD6FB5">
      <w:pPr>
        <w:pStyle w:val="FootnoteText"/>
        <w:ind w:left="720" w:firstLine="720"/>
        <w:rPr>
          <w:rFonts w:ascii="Arial" w:hAnsi="Arial"/>
        </w:rPr>
      </w:pPr>
      <w:r>
        <w:rPr>
          <w:rFonts w:ascii="Arial" w:hAnsi="Arial"/>
        </w:rPr>
        <w:t>PE</w:t>
      </w:r>
      <w:r>
        <w:rPr>
          <w:rFonts w:ascii="Arial" w:hAnsi="Arial"/>
          <w:vertAlign w:val="subscript"/>
        </w:rPr>
        <w:t>CO</w:t>
      </w:r>
      <w:r>
        <w:rPr>
          <w:rFonts w:ascii="Arial" w:hAnsi="Arial"/>
        </w:rPr>
        <w:t xml:space="preserve"> = 0.</w:t>
      </w:r>
      <w:r w:rsidR="001A7F38">
        <w:rPr>
          <w:rFonts w:ascii="Arial" w:hAnsi="Arial"/>
        </w:rPr>
        <w:t>9.957 g/bhp-hr</w:t>
      </w:r>
      <w:r>
        <w:rPr>
          <w:rFonts w:ascii="Arial" w:hAnsi="Arial"/>
        </w:rPr>
        <w:t xml:space="preserve"> x </w:t>
      </w:r>
      <w:r>
        <w:rPr>
          <w:rFonts w:ascii="Arial" w:hAnsi="Arial"/>
          <w:color w:val="0000FF"/>
        </w:rPr>
        <w:t>[  ]</w:t>
      </w:r>
      <w:r>
        <w:rPr>
          <w:rFonts w:ascii="Arial" w:hAnsi="Arial"/>
        </w:rPr>
        <w:t xml:space="preserve"> </w:t>
      </w:r>
      <w:r w:rsidR="001A7F38">
        <w:rPr>
          <w:rFonts w:ascii="Arial" w:hAnsi="Arial"/>
        </w:rPr>
        <w:t>B</w:t>
      </w:r>
      <w:r>
        <w:rPr>
          <w:rFonts w:ascii="Arial" w:hAnsi="Arial"/>
        </w:rPr>
        <w:t xml:space="preserve">HP x 24 (hrs/day) = </w:t>
      </w:r>
      <w:r>
        <w:rPr>
          <w:rFonts w:ascii="Arial" w:hAnsi="Arial"/>
          <w:color w:val="0000FF"/>
        </w:rPr>
        <w:t>[  ]</w:t>
      </w:r>
      <w:r>
        <w:rPr>
          <w:rFonts w:ascii="Arial" w:hAnsi="Arial"/>
        </w:rPr>
        <w:t xml:space="preserve"> lb-CO/day</w:t>
      </w:r>
    </w:p>
    <w:p w:rsidR="00FD6FB5" w:rsidRDefault="00FD6FB5">
      <w:pPr>
        <w:pStyle w:val="FootnoteText"/>
        <w:ind w:left="720" w:firstLine="720"/>
        <w:rPr>
          <w:rFonts w:ascii="Arial" w:hAnsi="Arial"/>
        </w:rPr>
      </w:pPr>
    </w:p>
    <w:p w:rsidR="00FD6FB5" w:rsidRDefault="00FD6FB5">
      <w:pPr>
        <w:pStyle w:val="FootnoteText"/>
        <w:ind w:left="1440"/>
        <w:rPr>
          <w:rFonts w:ascii="Arial" w:hAnsi="Arial"/>
        </w:rPr>
      </w:pPr>
      <w:r>
        <w:rPr>
          <w:rFonts w:ascii="Arial" w:hAnsi="Arial"/>
        </w:rPr>
        <w:t>PE</w:t>
      </w:r>
      <w:r>
        <w:rPr>
          <w:rFonts w:ascii="Arial" w:hAnsi="Arial"/>
          <w:vertAlign w:val="subscript"/>
        </w:rPr>
        <w:t>VOC</w:t>
      </w:r>
      <w:r>
        <w:rPr>
          <w:rFonts w:ascii="Arial" w:hAnsi="Arial"/>
        </w:rPr>
        <w:t xml:space="preserve"> = 0.</w:t>
      </w:r>
      <w:r w:rsidR="001A7F38">
        <w:rPr>
          <w:rFonts w:ascii="Arial" w:hAnsi="Arial"/>
        </w:rPr>
        <w:t>0.490 g/bhp-hr</w:t>
      </w:r>
      <w:r>
        <w:rPr>
          <w:rFonts w:ascii="Arial" w:hAnsi="Arial"/>
        </w:rPr>
        <w:t xml:space="preserve"> x </w:t>
      </w:r>
      <w:r>
        <w:rPr>
          <w:rFonts w:ascii="Arial" w:hAnsi="Arial"/>
          <w:color w:val="0000FF"/>
        </w:rPr>
        <w:t>[  ]</w:t>
      </w:r>
      <w:r>
        <w:rPr>
          <w:rFonts w:ascii="Arial" w:hAnsi="Arial"/>
        </w:rPr>
        <w:t xml:space="preserve"> </w:t>
      </w:r>
      <w:r w:rsidR="001A7F38">
        <w:rPr>
          <w:rFonts w:ascii="Arial" w:hAnsi="Arial"/>
        </w:rPr>
        <w:t>B</w:t>
      </w:r>
      <w:r>
        <w:rPr>
          <w:rFonts w:ascii="Arial" w:hAnsi="Arial"/>
        </w:rPr>
        <w:t xml:space="preserve">HP x 24 (hrs/day) = </w:t>
      </w:r>
      <w:r>
        <w:rPr>
          <w:rFonts w:ascii="Arial" w:hAnsi="Arial"/>
          <w:color w:val="0000FF"/>
        </w:rPr>
        <w:t>[  ]</w:t>
      </w:r>
      <w:r>
        <w:rPr>
          <w:rFonts w:ascii="Arial" w:hAnsi="Arial"/>
        </w:rPr>
        <w:t xml:space="preserve"> lb-VOC/day</w:t>
      </w:r>
    </w:p>
    <w:p w:rsidR="00FD6FB5" w:rsidRDefault="00FD6FB5">
      <w:pPr>
        <w:pStyle w:val="FootnoteText"/>
        <w:ind w:left="720" w:firstLine="720"/>
        <w:rPr>
          <w:rFonts w:ascii="Arial" w:hAnsi="Arial"/>
        </w:rPr>
      </w:pPr>
    </w:p>
    <w:p w:rsidR="00FD6FB5" w:rsidRDefault="00FD6FB5">
      <w:pPr>
        <w:suppressAutoHyphens/>
        <w:ind w:left="1440"/>
        <w:jc w:val="both"/>
        <w:rPr>
          <w:b/>
          <w:color w:val="FF0000"/>
          <w:spacing w:val="-3"/>
        </w:rPr>
      </w:pPr>
      <w:r>
        <w:rPr>
          <w:b/>
          <w:color w:val="FF0000"/>
          <w:spacing w:val="-3"/>
        </w:rPr>
        <w:t>If the daily PE (controlled or uncontrolled) is below 2 pounds of VOC per day, then please add the following section; otherwise delete it.</w:t>
      </w:r>
    </w:p>
    <w:p w:rsidR="00FD6FB5" w:rsidRDefault="00FD6FB5">
      <w:pPr>
        <w:suppressAutoHyphens/>
        <w:ind w:left="1440"/>
        <w:jc w:val="both"/>
        <w:rPr>
          <w:b/>
          <w:spacing w:val="-3"/>
        </w:rPr>
      </w:pPr>
    </w:p>
    <w:p w:rsidR="00FD6FB5" w:rsidRDefault="001A7F38">
      <w:pPr>
        <w:suppressAutoHyphens/>
        <w:ind w:left="1440"/>
        <w:jc w:val="both"/>
        <w:rPr>
          <w:bCs/>
          <w:spacing w:val="-3"/>
        </w:rPr>
      </w:pPr>
      <w:r>
        <w:rPr>
          <w:rFonts w:cs="Arial"/>
          <w:color w:val="000000"/>
        </w:rPr>
        <w:t>If</w:t>
      </w:r>
      <w:r w:rsidR="00FD6FB5">
        <w:rPr>
          <w:rFonts w:cs="Arial"/>
          <w:color w:val="000000"/>
        </w:rPr>
        <w:t xml:space="preserve"> the uncontrolled VOC emissions drop below 2.0 lb/day, the applicant will be allowed to take off their control device.  However, since the VOC emissions calculated above are below 2.0 lb-VOC/day, the calculated VOC emission will be adjusted to 2.0 lb-VOC/day in order to show no increase in emissions from this operation once the control device is taken off-line.  Since BACT is no longer required once the uncontrolled emissions are below two pounds per day, adjusting the DEL to 2.0 lb-VOC/day has no ramifications to the project.  </w:t>
      </w:r>
    </w:p>
    <w:p w:rsidR="00FD6FB5" w:rsidRDefault="00FD6FB5">
      <w:pPr>
        <w:suppressAutoHyphens/>
        <w:ind w:left="1440"/>
        <w:jc w:val="both"/>
        <w:rPr>
          <w:spacing w:val="-3"/>
        </w:rPr>
      </w:pPr>
    </w:p>
    <w:tbl>
      <w:tblPr>
        <w:tblW w:w="8280" w:type="dxa"/>
        <w:tblInd w:w="15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0"/>
        <w:gridCol w:w="2160"/>
        <w:gridCol w:w="2160"/>
        <w:gridCol w:w="2160"/>
      </w:tblGrid>
      <w:tr w:rsidR="00FD6FB5" w:rsidTr="006B0360">
        <w:trPr>
          <w:cantSplit/>
        </w:trPr>
        <w:tc>
          <w:tcPr>
            <w:tcW w:w="8280" w:type="dxa"/>
            <w:gridSpan w:val="4"/>
            <w:tcBorders>
              <w:top w:val="double" w:sz="4" w:space="0" w:color="auto"/>
              <w:bottom w:val="double" w:sz="6" w:space="0" w:color="000000"/>
            </w:tcBorders>
            <w:shd w:val="clear" w:color="auto" w:fill="auto"/>
            <w:vAlign w:val="center"/>
          </w:tcPr>
          <w:p w:rsidR="00FD6FB5" w:rsidRPr="007009EE" w:rsidRDefault="00FD6FB5" w:rsidP="009A4D6E">
            <w:pPr>
              <w:suppressAutoHyphens/>
              <w:spacing w:before="40" w:after="40"/>
              <w:jc w:val="center"/>
              <w:rPr>
                <w:b/>
                <w:bCs/>
                <w:spacing w:val="-3"/>
                <w:sz w:val="22"/>
                <w:szCs w:val="22"/>
              </w:rPr>
            </w:pPr>
            <w:r w:rsidRPr="007009EE">
              <w:rPr>
                <w:b/>
                <w:bCs/>
                <w:spacing w:val="-3"/>
                <w:sz w:val="22"/>
                <w:szCs w:val="22"/>
              </w:rPr>
              <w:t>Summary of Daily, Annual &amp; Quarterly PE</w:t>
            </w:r>
            <w:r w:rsidRPr="007009EE">
              <w:rPr>
                <w:b/>
                <w:bCs/>
                <w:spacing w:val="-3"/>
                <w:sz w:val="22"/>
                <w:szCs w:val="22"/>
                <w:vertAlign w:val="subscript"/>
              </w:rPr>
              <w:t>2</w:t>
            </w:r>
          </w:p>
        </w:tc>
      </w:tr>
      <w:tr w:rsidR="00FD6FB5" w:rsidTr="00737653">
        <w:tc>
          <w:tcPr>
            <w:tcW w:w="1800" w:type="dxa"/>
            <w:tcBorders>
              <w:top w:val="double" w:sz="6" w:space="0" w:color="000000"/>
              <w:bottom w:val="double" w:sz="4"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Pollutant</w:t>
            </w:r>
          </w:p>
        </w:tc>
        <w:tc>
          <w:tcPr>
            <w:tcW w:w="2160" w:type="dxa"/>
            <w:tcBorders>
              <w:top w:val="double" w:sz="6" w:space="0" w:color="000000"/>
              <w:bottom w:val="double" w:sz="4"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Daily (lb/day)</w:t>
            </w:r>
          </w:p>
        </w:tc>
        <w:tc>
          <w:tcPr>
            <w:tcW w:w="2160" w:type="dxa"/>
            <w:tcBorders>
              <w:top w:val="double" w:sz="6" w:space="0" w:color="000000"/>
              <w:bottom w:val="double" w:sz="4"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Annual (lb/year)</w:t>
            </w:r>
            <w:r w:rsidRPr="007009EE">
              <w:rPr>
                <w:rStyle w:val="FootnoteReference"/>
                <w:b/>
                <w:bCs/>
                <w:spacing w:val="-3"/>
                <w:sz w:val="22"/>
                <w:szCs w:val="22"/>
              </w:rPr>
              <w:footnoteReference w:id="7"/>
            </w:r>
          </w:p>
        </w:tc>
        <w:tc>
          <w:tcPr>
            <w:tcW w:w="2160" w:type="dxa"/>
            <w:tcBorders>
              <w:top w:val="double" w:sz="6" w:space="0" w:color="000000"/>
              <w:bottom w:val="double" w:sz="4"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Quarterly (lb/qtr)</w:t>
            </w:r>
            <w:r w:rsidRPr="007009EE">
              <w:rPr>
                <w:rStyle w:val="FootnoteReference"/>
                <w:b/>
                <w:bCs/>
                <w:spacing w:val="-3"/>
                <w:sz w:val="22"/>
                <w:szCs w:val="22"/>
              </w:rPr>
              <w:footnoteReference w:id="8"/>
            </w:r>
          </w:p>
        </w:tc>
      </w:tr>
      <w:tr w:rsidR="00FD6FB5">
        <w:tc>
          <w:tcPr>
            <w:tcW w:w="1800" w:type="dxa"/>
            <w:tcBorders>
              <w:top w:val="nil"/>
            </w:tcBorders>
          </w:tcPr>
          <w:p w:rsidR="00FD6FB5" w:rsidRPr="007009EE" w:rsidRDefault="00FD6FB5">
            <w:pPr>
              <w:suppressAutoHyphens/>
              <w:jc w:val="center"/>
              <w:rPr>
                <w:spacing w:val="-3"/>
                <w:sz w:val="22"/>
                <w:szCs w:val="22"/>
              </w:rPr>
            </w:pPr>
            <w:r w:rsidRPr="007009EE">
              <w:rPr>
                <w:noProof/>
                <w:spacing w:val="-3"/>
                <w:sz w:val="22"/>
                <w:szCs w:val="22"/>
              </w:rPr>
              <w:t>NO</w:t>
            </w:r>
            <w:r w:rsidRPr="007009EE">
              <w:rPr>
                <w:noProof/>
                <w:spacing w:val="-3"/>
                <w:sz w:val="22"/>
                <w:szCs w:val="22"/>
                <w:vertAlign w:val="subscript"/>
              </w:rPr>
              <w:t>x</w:t>
            </w:r>
          </w:p>
        </w:tc>
        <w:tc>
          <w:tcPr>
            <w:tcW w:w="2160" w:type="dxa"/>
            <w:tcBorders>
              <w:top w:val="nil"/>
            </w:tcBorders>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Borders>
              <w:top w:val="nil"/>
            </w:tcBorders>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Borders>
              <w:top w:val="nil"/>
            </w:tcBorders>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r>
      <w:tr w:rsidR="00FD6FB5">
        <w:tc>
          <w:tcPr>
            <w:tcW w:w="1800" w:type="dxa"/>
          </w:tcPr>
          <w:p w:rsidR="00FD6FB5" w:rsidRPr="007009EE" w:rsidRDefault="00FD6FB5">
            <w:pPr>
              <w:suppressAutoHyphens/>
              <w:jc w:val="center"/>
              <w:rPr>
                <w:spacing w:val="-3"/>
                <w:sz w:val="22"/>
                <w:szCs w:val="22"/>
              </w:rPr>
            </w:pPr>
            <w:r w:rsidRPr="007009EE">
              <w:rPr>
                <w:noProof/>
                <w:spacing w:val="-3"/>
                <w:sz w:val="22"/>
                <w:szCs w:val="22"/>
              </w:rPr>
              <w:t>SO</w:t>
            </w:r>
            <w:r w:rsidRPr="007009EE">
              <w:rPr>
                <w:noProof/>
                <w:spacing w:val="-3"/>
                <w:sz w:val="22"/>
                <w:szCs w:val="22"/>
                <w:vertAlign w:val="subscript"/>
              </w:rPr>
              <w:t>x</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r>
      <w:tr w:rsidR="00FD6FB5">
        <w:tc>
          <w:tcPr>
            <w:tcW w:w="1800" w:type="dxa"/>
          </w:tcPr>
          <w:p w:rsidR="00FD6FB5" w:rsidRPr="007009EE" w:rsidRDefault="00FD6FB5">
            <w:pPr>
              <w:suppressAutoHyphens/>
              <w:jc w:val="center"/>
              <w:rPr>
                <w:spacing w:val="-3"/>
                <w:sz w:val="22"/>
                <w:szCs w:val="22"/>
              </w:rPr>
            </w:pPr>
            <w:r w:rsidRPr="007009EE">
              <w:rPr>
                <w:noProof/>
                <w:spacing w:val="-3"/>
                <w:sz w:val="22"/>
                <w:szCs w:val="22"/>
              </w:rPr>
              <w:t>PM</w:t>
            </w:r>
            <w:r w:rsidRPr="007009EE">
              <w:rPr>
                <w:noProof/>
                <w:spacing w:val="-3"/>
                <w:sz w:val="22"/>
                <w:szCs w:val="22"/>
                <w:vertAlign w:val="subscript"/>
              </w:rPr>
              <w:t>10</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r>
      <w:tr w:rsidR="00FD6FB5">
        <w:tc>
          <w:tcPr>
            <w:tcW w:w="1800" w:type="dxa"/>
          </w:tcPr>
          <w:p w:rsidR="00FD6FB5" w:rsidRPr="007009EE" w:rsidRDefault="00FD6FB5">
            <w:pPr>
              <w:suppressAutoHyphens/>
              <w:jc w:val="center"/>
              <w:rPr>
                <w:spacing w:val="-3"/>
                <w:sz w:val="22"/>
                <w:szCs w:val="22"/>
              </w:rPr>
            </w:pPr>
            <w:r w:rsidRPr="007009EE">
              <w:rPr>
                <w:spacing w:val="-3"/>
                <w:sz w:val="22"/>
                <w:szCs w:val="22"/>
              </w:rPr>
              <w:t>CO</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r>
      <w:tr w:rsidR="00FD6FB5">
        <w:tc>
          <w:tcPr>
            <w:tcW w:w="1800" w:type="dxa"/>
          </w:tcPr>
          <w:p w:rsidR="00FD6FB5" w:rsidRPr="007009EE" w:rsidRDefault="00FD6FB5">
            <w:pPr>
              <w:suppressAutoHyphens/>
              <w:jc w:val="center"/>
              <w:rPr>
                <w:spacing w:val="-3"/>
                <w:sz w:val="22"/>
                <w:szCs w:val="22"/>
              </w:rPr>
            </w:pPr>
            <w:r w:rsidRPr="007009EE">
              <w:rPr>
                <w:spacing w:val="-3"/>
                <w:sz w:val="22"/>
                <w:szCs w:val="22"/>
              </w:rPr>
              <w:t>VOC</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6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r>
    </w:tbl>
    <w:p w:rsidR="00FD6FB5" w:rsidRDefault="00FD6FB5">
      <w:pPr>
        <w:suppressAutoHyphens/>
        <w:spacing w:before="90"/>
        <w:ind w:left="720" w:firstLine="720"/>
        <w:rPr>
          <w:spacing w:val="-3"/>
          <w:sz w:val="20"/>
        </w:rPr>
      </w:pPr>
    </w:p>
    <w:p w:rsidR="00FD6FB5" w:rsidRDefault="00FD6FB5">
      <w:pPr>
        <w:pStyle w:val="Caption"/>
        <w:ind w:hanging="360"/>
      </w:pPr>
      <w:r>
        <w:t>3.</w:t>
      </w:r>
      <w:r>
        <w:tab/>
        <w:t>Pre-Project Stationary Source Potential to Emit (SSPE1)</w:t>
      </w:r>
    </w:p>
    <w:p w:rsidR="00FD6FB5" w:rsidRDefault="00FD6FB5">
      <w:pPr>
        <w:suppressAutoHyphens/>
        <w:jc w:val="both"/>
        <w:rPr>
          <w:spacing w:val="-3"/>
        </w:rPr>
      </w:pPr>
      <w:r>
        <w:rPr>
          <w:spacing w:val="-3"/>
        </w:rPr>
        <w:tab/>
      </w:r>
    </w:p>
    <w:p w:rsidR="00FD6FB5" w:rsidRDefault="00FD6FB5">
      <w:pPr>
        <w:suppressAutoHyphens/>
        <w:ind w:left="720" w:firstLine="720"/>
        <w:jc w:val="both"/>
        <w:rPr>
          <w:i/>
          <w:iCs/>
          <w:color w:val="FF0000"/>
          <w:spacing w:val="-3"/>
        </w:rPr>
      </w:pPr>
      <w:r>
        <w:rPr>
          <w:i/>
          <w:iCs/>
          <w:color w:val="FF0000"/>
          <w:spacing w:val="-3"/>
        </w:rPr>
        <w:t>[For New Stationary Sources]</w:t>
      </w:r>
    </w:p>
    <w:p w:rsidR="00FD6FB5" w:rsidRDefault="00FD6FB5">
      <w:pPr>
        <w:suppressAutoHyphens/>
        <w:jc w:val="both"/>
        <w:rPr>
          <w:spacing w:val="-3"/>
        </w:rPr>
      </w:pPr>
    </w:p>
    <w:p w:rsidR="00FD6FB5" w:rsidRDefault="00FD6FB5">
      <w:pPr>
        <w:suppressAutoHyphens/>
        <w:ind w:left="720" w:firstLine="720"/>
        <w:jc w:val="both"/>
        <w:rPr>
          <w:spacing w:val="-3"/>
        </w:rPr>
      </w:pPr>
      <w:r>
        <w:rPr>
          <w:spacing w:val="-3"/>
        </w:rPr>
        <w:t>Since this is a new facility, SSPE1 is equal to zero.</w:t>
      </w:r>
    </w:p>
    <w:p w:rsidR="00FD6FB5" w:rsidRDefault="00FD6FB5">
      <w:pPr>
        <w:suppressAutoHyphens/>
        <w:ind w:left="1440" w:hanging="630"/>
        <w:jc w:val="both"/>
        <w:rPr>
          <w:i/>
          <w:color w:val="FF0000"/>
          <w:spacing w:val="-3"/>
        </w:rPr>
      </w:pPr>
    </w:p>
    <w:p w:rsidR="00FD6FB5" w:rsidRDefault="00FD6FB5">
      <w:pPr>
        <w:suppressAutoHyphens/>
        <w:ind w:left="1440"/>
        <w:jc w:val="both"/>
        <w:rPr>
          <w:i/>
          <w:color w:val="FF0000"/>
          <w:spacing w:val="-3"/>
        </w:rPr>
      </w:pPr>
      <w:r>
        <w:rPr>
          <w:i/>
          <w:color w:val="FF0000"/>
          <w:spacing w:val="-3"/>
        </w:rPr>
        <w:t xml:space="preserve"> [For </w:t>
      </w:r>
      <w:r w:rsidR="001A7F38">
        <w:rPr>
          <w:i/>
          <w:color w:val="FF0000"/>
          <w:spacing w:val="-3"/>
        </w:rPr>
        <w:t>Modifications to an E</w:t>
      </w:r>
      <w:r>
        <w:rPr>
          <w:i/>
          <w:color w:val="FF0000"/>
          <w:spacing w:val="-3"/>
        </w:rPr>
        <w:t>xisting Stationary Source]</w:t>
      </w:r>
    </w:p>
    <w:p w:rsidR="00FD6FB5" w:rsidRDefault="00FD6FB5">
      <w:pPr>
        <w:suppressAutoHyphens/>
        <w:ind w:left="1440" w:hanging="630"/>
        <w:jc w:val="both"/>
        <w:rPr>
          <w:i/>
          <w:color w:val="FF0000"/>
          <w:spacing w:val="-3"/>
        </w:rPr>
      </w:pPr>
    </w:p>
    <w:p w:rsidR="00FD6FB5" w:rsidRDefault="00FD6FB5">
      <w:pPr>
        <w:ind w:left="1440"/>
        <w:jc w:val="both"/>
      </w:pPr>
      <w:r>
        <w:t xml:space="preserve">Pursuant to Section 4.9 of District Rule 2201, the Pre-project Stationary Source Potential to Emit (SSPE1) is the Potential to Emit (PE) from all units with valid Authorities to Construct (ATC) or Permits to Operate (PTO) at the Stationary Source and the quantity of emission reduction credits (ERC) which have been banked since September 19, 1991 for Actual Emissions Reductions that have occurred at the source, and which have not been used on-site. </w:t>
      </w:r>
    </w:p>
    <w:p w:rsidR="00FD6FB5" w:rsidRDefault="00FD6FB5">
      <w:pPr>
        <w:suppressAutoHyphens/>
        <w:ind w:left="1440" w:hanging="630"/>
        <w:jc w:val="both"/>
        <w:rPr>
          <w:i/>
          <w:color w:val="FF0000"/>
          <w:spacing w:val="-3"/>
        </w:rPr>
      </w:pPr>
    </w:p>
    <w:p w:rsidR="00FD6FB5" w:rsidRDefault="00FD6FB5">
      <w:pPr>
        <w:suppressAutoHyphens/>
        <w:ind w:left="1440"/>
        <w:jc w:val="both"/>
        <w:rPr>
          <w:spacing w:val="-3"/>
        </w:rPr>
      </w:pPr>
      <w:r>
        <w:rPr>
          <w:spacing w:val="-3"/>
        </w:rPr>
        <w:t>Since this is an existing facility, SSPE1 is equal to the PE</w:t>
      </w:r>
      <w:r>
        <w:rPr>
          <w:spacing w:val="-3"/>
          <w:vertAlign w:val="subscript"/>
        </w:rPr>
        <w:t xml:space="preserve">Total Pre-Project </w:t>
      </w:r>
      <w:r>
        <w:rPr>
          <w:spacing w:val="-3"/>
        </w:rPr>
        <w:t>for all criteria pollutants.</w:t>
      </w:r>
    </w:p>
    <w:p w:rsidR="00FD6FB5" w:rsidRDefault="00FD6FB5">
      <w:pPr>
        <w:suppressAutoHyphens/>
        <w:ind w:left="1440"/>
        <w:jc w:val="both"/>
        <w:rPr>
          <w:spacing w:val="-3"/>
        </w:rPr>
      </w:pPr>
    </w:p>
    <w:p w:rsidR="00FD6FB5" w:rsidRDefault="00FD6FB5">
      <w:pPr>
        <w:suppressAutoHyphens/>
        <w:ind w:left="1440"/>
        <w:jc w:val="both"/>
        <w:rPr>
          <w:spacing w:val="-3"/>
        </w:rPr>
      </w:pPr>
      <w:r>
        <w:rPr>
          <w:spacing w:val="-3"/>
        </w:rPr>
        <w:t>The Pre-project Stationary Source Potential to Emit (SSPE1) is presented in the following table:</w:t>
      </w:r>
    </w:p>
    <w:p w:rsidR="00FD6FB5" w:rsidRDefault="00FD6FB5">
      <w:pPr>
        <w:suppressAutoHyphens/>
        <w:jc w:val="both"/>
        <w:rPr>
          <w:spacing w:val="-3"/>
        </w:rPr>
      </w:pP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60"/>
        <w:gridCol w:w="1260"/>
        <w:gridCol w:w="1350"/>
        <w:gridCol w:w="1260"/>
        <w:gridCol w:w="1260"/>
      </w:tblGrid>
      <w:tr w:rsidR="00FD6FB5" w:rsidTr="006B0360">
        <w:trPr>
          <w:cantSplit/>
          <w:trHeight w:val="371"/>
        </w:trPr>
        <w:tc>
          <w:tcPr>
            <w:tcW w:w="819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FD6FB5" w:rsidRPr="007009EE" w:rsidRDefault="00FD6FB5" w:rsidP="009A4D6E">
            <w:pPr>
              <w:pStyle w:val="Header"/>
              <w:tabs>
                <w:tab w:val="clear" w:pos="4320"/>
                <w:tab w:val="clear" w:pos="8640"/>
              </w:tabs>
              <w:spacing w:before="40" w:after="40"/>
              <w:jc w:val="center"/>
              <w:rPr>
                <w:b/>
                <w:sz w:val="22"/>
                <w:szCs w:val="22"/>
              </w:rPr>
            </w:pPr>
            <w:r w:rsidRPr="007009EE">
              <w:rPr>
                <w:b/>
                <w:sz w:val="22"/>
                <w:szCs w:val="22"/>
              </w:rPr>
              <w:t>SSPE1 (</w:t>
            </w:r>
            <w:r w:rsidR="008B2F73" w:rsidRPr="008B2F73">
              <w:rPr>
                <w:b/>
                <w:sz w:val="22"/>
                <w:szCs w:val="22"/>
              </w:rPr>
              <w:t>lbs</w:t>
            </w:r>
            <w:r w:rsidRPr="007009EE">
              <w:rPr>
                <w:b/>
                <w:sz w:val="22"/>
                <w:szCs w:val="22"/>
              </w:rPr>
              <w:t>/yr)</w:t>
            </w:r>
          </w:p>
        </w:tc>
      </w:tr>
      <w:tr w:rsidR="00FD6FB5" w:rsidTr="00737653">
        <w:tc>
          <w:tcPr>
            <w:tcW w:w="1800" w:type="dxa"/>
            <w:tcBorders>
              <w:top w:val="double" w:sz="4" w:space="0" w:color="auto"/>
              <w:left w:val="double" w:sz="4" w:space="0" w:color="auto"/>
              <w:bottom w:val="double" w:sz="6" w:space="0" w:color="auto"/>
            </w:tcBorders>
            <w:shd w:val="clear" w:color="auto" w:fill="auto"/>
            <w:vAlign w:val="center"/>
          </w:tcPr>
          <w:p w:rsidR="00FD6FB5" w:rsidRPr="007009EE" w:rsidRDefault="00FD6FB5">
            <w:pPr>
              <w:pStyle w:val="Header"/>
              <w:tabs>
                <w:tab w:val="clear" w:pos="4320"/>
                <w:tab w:val="clear" w:pos="8640"/>
              </w:tabs>
              <w:spacing w:before="40" w:after="40"/>
              <w:jc w:val="center"/>
              <w:rPr>
                <w:b/>
                <w:bCs/>
                <w:sz w:val="22"/>
                <w:szCs w:val="22"/>
              </w:rPr>
            </w:pPr>
            <w:r w:rsidRPr="007009EE">
              <w:rPr>
                <w:b/>
                <w:bCs/>
                <w:sz w:val="22"/>
                <w:szCs w:val="22"/>
              </w:rPr>
              <w:t>Permit #</w:t>
            </w:r>
          </w:p>
        </w:tc>
        <w:tc>
          <w:tcPr>
            <w:tcW w:w="1260" w:type="dxa"/>
            <w:tcBorders>
              <w:top w:val="double" w:sz="4" w:space="0" w:color="auto"/>
              <w:bottom w:val="double" w:sz="6" w:space="0" w:color="auto"/>
            </w:tcBorders>
            <w:shd w:val="clear" w:color="auto" w:fill="auto"/>
          </w:tcPr>
          <w:p w:rsidR="00FD6FB5" w:rsidRPr="007009EE" w:rsidRDefault="00FD6FB5">
            <w:pPr>
              <w:pStyle w:val="Header"/>
              <w:tabs>
                <w:tab w:val="clear" w:pos="4320"/>
                <w:tab w:val="clear" w:pos="8640"/>
              </w:tabs>
              <w:spacing w:before="40" w:after="40"/>
              <w:jc w:val="center"/>
              <w:rPr>
                <w:b/>
                <w:bCs/>
                <w:sz w:val="22"/>
                <w:szCs w:val="22"/>
              </w:rPr>
            </w:pPr>
            <w:r w:rsidRPr="007009EE">
              <w:rPr>
                <w:b/>
                <w:bCs/>
                <w:sz w:val="22"/>
                <w:szCs w:val="22"/>
              </w:rPr>
              <w:t>NO</w:t>
            </w:r>
            <w:r w:rsidRPr="007009EE">
              <w:rPr>
                <w:b/>
                <w:bCs/>
                <w:sz w:val="22"/>
                <w:szCs w:val="22"/>
                <w:vertAlign w:val="subscript"/>
              </w:rPr>
              <w:t>x</w:t>
            </w:r>
          </w:p>
        </w:tc>
        <w:tc>
          <w:tcPr>
            <w:tcW w:w="1260" w:type="dxa"/>
            <w:tcBorders>
              <w:top w:val="double" w:sz="4" w:space="0" w:color="auto"/>
              <w:bottom w:val="double" w:sz="6" w:space="0" w:color="auto"/>
            </w:tcBorders>
            <w:shd w:val="clear" w:color="auto" w:fill="auto"/>
          </w:tcPr>
          <w:p w:rsidR="00FD6FB5" w:rsidRPr="007009EE" w:rsidRDefault="00FD6FB5">
            <w:pPr>
              <w:pStyle w:val="Header"/>
              <w:tabs>
                <w:tab w:val="clear" w:pos="4320"/>
                <w:tab w:val="clear" w:pos="8640"/>
              </w:tabs>
              <w:spacing w:before="40" w:after="40"/>
              <w:jc w:val="center"/>
              <w:rPr>
                <w:b/>
                <w:bCs/>
                <w:sz w:val="22"/>
                <w:szCs w:val="22"/>
              </w:rPr>
            </w:pPr>
            <w:r w:rsidRPr="007009EE">
              <w:rPr>
                <w:b/>
                <w:bCs/>
                <w:sz w:val="22"/>
                <w:szCs w:val="22"/>
              </w:rPr>
              <w:t>SO</w:t>
            </w:r>
            <w:r w:rsidRPr="007009EE">
              <w:rPr>
                <w:b/>
                <w:bCs/>
                <w:sz w:val="22"/>
                <w:szCs w:val="22"/>
                <w:vertAlign w:val="subscript"/>
              </w:rPr>
              <w:t>x</w:t>
            </w:r>
          </w:p>
        </w:tc>
        <w:tc>
          <w:tcPr>
            <w:tcW w:w="1350" w:type="dxa"/>
            <w:tcBorders>
              <w:top w:val="double" w:sz="4" w:space="0" w:color="auto"/>
              <w:bottom w:val="double" w:sz="6" w:space="0" w:color="auto"/>
            </w:tcBorders>
            <w:shd w:val="clear" w:color="auto" w:fill="auto"/>
          </w:tcPr>
          <w:p w:rsidR="00FD6FB5" w:rsidRPr="007009EE" w:rsidRDefault="00FD6FB5">
            <w:pPr>
              <w:pStyle w:val="Header"/>
              <w:tabs>
                <w:tab w:val="clear" w:pos="4320"/>
                <w:tab w:val="clear" w:pos="8640"/>
              </w:tabs>
              <w:spacing w:before="40" w:after="40"/>
              <w:jc w:val="center"/>
              <w:rPr>
                <w:b/>
                <w:bCs/>
                <w:sz w:val="22"/>
                <w:szCs w:val="22"/>
              </w:rPr>
            </w:pPr>
            <w:r w:rsidRPr="007009EE">
              <w:rPr>
                <w:b/>
                <w:bCs/>
                <w:sz w:val="22"/>
                <w:szCs w:val="22"/>
              </w:rPr>
              <w:t>PM</w:t>
            </w:r>
            <w:r w:rsidRPr="007009EE">
              <w:rPr>
                <w:b/>
                <w:bCs/>
                <w:sz w:val="22"/>
                <w:szCs w:val="22"/>
                <w:vertAlign w:val="subscript"/>
              </w:rPr>
              <w:t>10</w:t>
            </w:r>
          </w:p>
        </w:tc>
        <w:tc>
          <w:tcPr>
            <w:tcW w:w="1260" w:type="dxa"/>
            <w:tcBorders>
              <w:top w:val="double" w:sz="4" w:space="0" w:color="auto"/>
              <w:bottom w:val="double" w:sz="6" w:space="0" w:color="auto"/>
            </w:tcBorders>
            <w:shd w:val="clear" w:color="auto" w:fill="auto"/>
          </w:tcPr>
          <w:p w:rsidR="00FD6FB5" w:rsidRPr="007009EE" w:rsidRDefault="00FD6FB5">
            <w:pPr>
              <w:pStyle w:val="Header"/>
              <w:tabs>
                <w:tab w:val="clear" w:pos="4320"/>
                <w:tab w:val="clear" w:pos="8640"/>
              </w:tabs>
              <w:spacing w:before="40" w:after="40"/>
              <w:jc w:val="center"/>
              <w:rPr>
                <w:b/>
                <w:bCs/>
                <w:sz w:val="22"/>
                <w:szCs w:val="22"/>
              </w:rPr>
            </w:pPr>
            <w:r w:rsidRPr="007009EE">
              <w:rPr>
                <w:b/>
                <w:bCs/>
                <w:sz w:val="22"/>
                <w:szCs w:val="22"/>
              </w:rPr>
              <w:t>CO</w:t>
            </w:r>
          </w:p>
        </w:tc>
        <w:tc>
          <w:tcPr>
            <w:tcW w:w="1260" w:type="dxa"/>
            <w:tcBorders>
              <w:top w:val="double" w:sz="4" w:space="0" w:color="auto"/>
              <w:bottom w:val="double" w:sz="6" w:space="0" w:color="auto"/>
              <w:right w:val="double" w:sz="4" w:space="0" w:color="auto"/>
            </w:tcBorders>
            <w:shd w:val="clear" w:color="auto" w:fill="auto"/>
          </w:tcPr>
          <w:p w:rsidR="00FD6FB5" w:rsidRPr="007009EE" w:rsidRDefault="00FD6FB5">
            <w:pPr>
              <w:pStyle w:val="Header"/>
              <w:tabs>
                <w:tab w:val="clear" w:pos="4320"/>
                <w:tab w:val="clear" w:pos="8640"/>
              </w:tabs>
              <w:spacing w:before="40" w:after="40"/>
              <w:jc w:val="center"/>
              <w:rPr>
                <w:b/>
                <w:bCs/>
                <w:sz w:val="22"/>
                <w:szCs w:val="22"/>
              </w:rPr>
            </w:pPr>
            <w:r w:rsidRPr="007009EE">
              <w:rPr>
                <w:b/>
                <w:bCs/>
                <w:sz w:val="22"/>
                <w:szCs w:val="22"/>
              </w:rPr>
              <w:t>VOC</w:t>
            </w:r>
          </w:p>
        </w:tc>
      </w:tr>
      <w:tr w:rsidR="00FD6FB5">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double" w:sz="6" w:space="0" w:color="auto"/>
              <w:bottom w:val="single" w:sz="4" w:space="0" w:color="auto"/>
            </w:tcBorders>
            <w:vAlign w:val="center"/>
          </w:tcPr>
          <w:p w:rsidR="00FD6FB5" w:rsidRPr="007009EE" w:rsidRDefault="00FD6FB5">
            <w:pPr>
              <w:suppressAutoHyphens/>
              <w:jc w:val="center"/>
              <w:rPr>
                <w:color w:val="0000FF"/>
                <w:spacing w:val="-3"/>
                <w:sz w:val="22"/>
                <w:szCs w:val="22"/>
              </w:rPr>
            </w:pPr>
            <w:r w:rsidRPr="007009EE">
              <w:rPr>
                <w:color w:val="0000FF"/>
                <w:spacing w:val="-3"/>
                <w:sz w:val="22"/>
                <w:szCs w:val="22"/>
              </w:rPr>
              <w:t>C-xxxx-x-x</w:t>
            </w:r>
          </w:p>
        </w:tc>
        <w:tc>
          <w:tcPr>
            <w:tcW w:w="126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35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r>
      <w:tr w:rsidR="00FD6FB5">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single" w:sz="4" w:space="0" w:color="auto"/>
              <w:bottom w:val="single" w:sz="12" w:space="0" w:color="auto"/>
            </w:tcBorders>
            <w:vAlign w:val="center"/>
          </w:tcPr>
          <w:p w:rsidR="00FD6FB5" w:rsidRPr="007009EE" w:rsidRDefault="00FD6FB5">
            <w:pPr>
              <w:suppressAutoHyphens/>
              <w:jc w:val="center"/>
              <w:rPr>
                <w:color w:val="0000FF"/>
                <w:spacing w:val="-3"/>
                <w:sz w:val="22"/>
                <w:szCs w:val="22"/>
              </w:rPr>
            </w:pPr>
            <w:r w:rsidRPr="007009EE">
              <w:rPr>
                <w:color w:val="0000FF"/>
                <w:spacing w:val="-3"/>
                <w:sz w:val="22"/>
                <w:szCs w:val="22"/>
              </w:rPr>
              <w:t>C-xxxx-x-x</w:t>
            </w:r>
          </w:p>
        </w:tc>
        <w:tc>
          <w:tcPr>
            <w:tcW w:w="1260" w:type="dxa"/>
            <w:tcBorders>
              <w:top w:val="single" w:sz="4" w:space="0" w:color="auto"/>
              <w:bottom w:val="single" w:sz="12"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4" w:space="0" w:color="auto"/>
              <w:bottom w:val="single" w:sz="12"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350" w:type="dxa"/>
            <w:tcBorders>
              <w:top w:val="single" w:sz="4" w:space="0" w:color="auto"/>
              <w:bottom w:val="single" w:sz="12"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4" w:space="0" w:color="auto"/>
              <w:bottom w:val="single" w:sz="12"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4" w:space="0" w:color="auto"/>
              <w:bottom w:val="single" w:sz="12"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r>
      <w:tr w:rsidR="00FD6FB5">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single" w:sz="12" w:space="0" w:color="auto"/>
              <w:bottom w:val="double" w:sz="4" w:space="0" w:color="auto"/>
            </w:tcBorders>
            <w:vAlign w:val="center"/>
          </w:tcPr>
          <w:p w:rsidR="00FD6FB5" w:rsidRPr="007009EE" w:rsidRDefault="00FD6FB5">
            <w:pPr>
              <w:tabs>
                <w:tab w:val="left" w:pos="-720"/>
              </w:tabs>
              <w:suppressAutoHyphens/>
              <w:ind w:right="-360"/>
              <w:jc w:val="center"/>
              <w:rPr>
                <w:sz w:val="22"/>
                <w:szCs w:val="22"/>
              </w:rPr>
            </w:pPr>
            <w:r w:rsidRPr="007009EE">
              <w:rPr>
                <w:sz w:val="22"/>
                <w:szCs w:val="22"/>
              </w:rPr>
              <w:t>Total</w:t>
            </w:r>
          </w:p>
        </w:tc>
        <w:tc>
          <w:tcPr>
            <w:tcW w:w="126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35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r>
    </w:tbl>
    <w:p w:rsidR="00FD6FB5" w:rsidRDefault="00FD6FB5">
      <w:pPr>
        <w:suppressAutoHyphens/>
        <w:ind w:left="1440"/>
        <w:jc w:val="both"/>
        <w:rPr>
          <w:spacing w:val="-3"/>
        </w:rPr>
      </w:pPr>
    </w:p>
    <w:p w:rsidR="00FD6FB5" w:rsidRDefault="00FD6FB5">
      <w:pPr>
        <w:suppressAutoHyphens/>
        <w:ind w:firstLine="1080"/>
        <w:jc w:val="both"/>
        <w:rPr>
          <w:b/>
          <w:bCs/>
        </w:rPr>
      </w:pPr>
      <w:r>
        <w:rPr>
          <w:b/>
          <w:bCs/>
          <w:spacing w:val="-3"/>
        </w:rPr>
        <w:t>4.</w:t>
      </w:r>
      <w:r>
        <w:rPr>
          <w:b/>
          <w:bCs/>
          <w:spacing w:val="-3"/>
        </w:rPr>
        <w:tab/>
        <w:t xml:space="preserve">Post-Project </w:t>
      </w:r>
      <w:r>
        <w:rPr>
          <w:b/>
          <w:bCs/>
        </w:rPr>
        <w:t>Stationary Source Potential to Emit (SSPE2)</w:t>
      </w:r>
    </w:p>
    <w:p w:rsidR="00FD6FB5" w:rsidRDefault="00FD6FB5">
      <w:pPr>
        <w:suppressAutoHyphens/>
        <w:jc w:val="both"/>
        <w:rPr>
          <w:b/>
          <w:bCs/>
          <w:spacing w:val="-3"/>
        </w:rPr>
      </w:pPr>
    </w:p>
    <w:p w:rsidR="00FD6FB5" w:rsidRDefault="00FD6FB5">
      <w:pPr>
        <w:suppressAutoHyphens/>
        <w:ind w:left="1440"/>
        <w:jc w:val="both"/>
      </w:pPr>
      <w:r>
        <w:rPr>
          <w:spacing w:val="-3"/>
        </w:rPr>
        <w:t xml:space="preserve">Pursuant to Section 4.10 </w:t>
      </w:r>
      <w:r>
        <w:t xml:space="preserve">of District Rule 2201, the Post-project Stationary Source Potential to Emit (SSPE1) is the Potential to Emit (PE) from all units with valid Authorities to Construct (ATC) or Permits to Operate (PTO) at the Stationary Source and the quantity of emission reduction credits (ERC) which have been banked since September 19, 1991 for Actual Emissions Reductions that have occurred at the source, and which have not been used on-site. </w:t>
      </w:r>
      <w:r>
        <w:rPr>
          <w:spacing w:val="-3"/>
        </w:rPr>
        <w:t xml:space="preserve">  The Post-project Stationary Source Potential to Emit (SSPE2) is presented in the following table:</w:t>
      </w:r>
      <w:r>
        <w:t xml:space="preserve"> </w:t>
      </w:r>
    </w:p>
    <w:p w:rsidR="00FD6FB5" w:rsidRDefault="00FD6FB5">
      <w:pPr>
        <w:suppressAutoHyphens/>
        <w:ind w:left="720"/>
        <w:jc w:val="both"/>
      </w:pPr>
    </w:p>
    <w:tbl>
      <w:tblPr>
        <w:tblW w:w="819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260"/>
        <w:gridCol w:w="1260"/>
        <w:gridCol w:w="1350"/>
        <w:gridCol w:w="1260"/>
        <w:gridCol w:w="1260"/>
      </w:tblGrid>
      <w:tr w:rsidR="00FD6FB5" w:rsidTr="006B0360">
        <w:trPr>
          <w:cantSplit/>
          <w:trHeight w:val="335"/>
        </w:trPr>
        <w:tc>
          <w:tcPr>
            <w:tcW w:w="819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FD6FB5" w:rsidRPr="007009EE" w:rsidRDefault="00FD6FB5" w:rsidP="009A4D6E">
            <w:pPr>
              <w:pStyle w:val="Header"/>
              <w:tabs>
                <w:tab w:val="clear" w:pos="4320"/>
                <w:tab w:val="clear" w:pos="8640"/>
              </w:tabs>
              <w:spacing w:before="40" w:after="40"/>
              <w:jc w:val="center"/>
              <w:rPr>
                <w:b/>
                <w:sz w:val="22"/>
                <w:szCs w:val="22"/>
              </w:rPr>
            </w:pPr>
            <w:r w:rsidRPr="007009EE">
              <w:rPr>
                <w:b/>
                <w:sz w:val="22"/>
                <w:szCs w:val="22"/>
              </w:rPr>
              <w:t>SSPE2 (</w:t>
            </w:r>
            <w:r w:rsidR="008B2F73" w:rsidRPr="008B2F73">
              <w:rPr>
                <w:b/>
                <w:sz w:val="22"/>
                <w:szCs w:val="22"/>
              </w:rPr>
              <w:t>lbs</w:t>
            </w:r>
            <w:r w:rsidRPr="007009EE">
              <w:rPr>
                <w:b/>
                <w:sz w:val="22"/>
                <w:szCs w:val="22"/>
              </w:rPr>
              <w:t>/yr)</w:t>
            </w:r>
          </w:p>
        </w:tc>
      </w:tr>
      <w:tr w:rsidR="00FD6FB5" w:rsidTr="00737653">
        <w:trPr>
          <w:trHeight w:val="182"/>
        </w:trPr>
        <w:tc>
          <w:tcPr>
            <w:tcW w:w="1800" w:type="dxa"/>
            <w:tcBorders>
              <w:top w:val="double" w:sz="4" w:space="0" w:color="auto"/>
              <w:left w:val="double" w:sz="4" w:space="0" w:color="auto"/>
              <w:bottom w:val="double" w:sz="6" w:space="0" w:color="auto"/>
            </w:tcBorders>
            <w:shd w:val="clear" w:color="auto" w:fill="auto"/>
            <w:vAlign w:val="center"/>
          </w:tcPr>
          <w:p w:rsidR="00FD6FB5" w:rsidRPr="007009EE" w:rsidRDefault="00FD6FB5">
            <w:pPr>
              <w:pStyle w:val="Header"/>
              <w:tabs>
                <w:tab w:val="clear" w:pos="4320"/>
                <w:tab w:val="clear" w:pos="8640"/>
              </w:tabs>
              <w:jc w:val="center"/>
              <w:rPr>
                <w:b/>
                <w:bCs/>
                <w:sz w:val="22"/>
                <w:szCs w:val="22"/>
              </w:rPr>
            </w:pPr>
            <w:r w:rsidRPr="007009EE">
              <w:rPr>
                <w:b/>
                <w:bCs/>
                <w:sz w:val="22"/>
                <w:szCs w:val="22"/>
              </w:rPr>
              <w:t>Permit #</w:t>
            </w:r>
          </w:p>
        </w:tc>
        <w:tc>
          <w:tcPr>
            <w:tcW w:w="1260" w:type="dxa"/>
            <w:tcBorders>
              <w:top w:val="double" w:sz="4" w:space="0" w:color="auto"/>
              <w:bottom w:val="double" w:sz="6" w:space="0" w:color="auto"/>
            </w:tcBorders>
            <w:shd w:val="clear" w:color="auto" w:fill="auto"/>
          </w:tcPr>
          <w:p w:rsidR="00FD6FB5" w:rsidRPr="007009EE" w:rsidRDefault="00FD6FB5">
            <w:pPr>
              <w:pStyle w:val="Header"/>
              <w:tabs>
                <w:tab w:val="clear" w:pos="4320"/>
                <w:tab w:val="clear" w:pos="8640"/>
              </w:tabs>
              <w:jc w:val="center"/>
              <w:rPr>
                <w:b/>
                <w:bCs/>
                <w:sz w:val="22"/>
                <w:szCs w:val="22"/>
              </w:rPr>
            </w:pPr>
            <w:r w:rsidRPr="007009EE">
              <w:rPr>
                <w:b/>
                <w:bCs/>
                <w:sz w:val="22"/>
                <w:szCs w:val="22"/>
              </w:rPr>
              <w:t>NO</w:t>
            </w:r>
            <w:r w:rsidRPr="007009EE">
              <w:rPr>
                <w:b/>
                <w:bCs/>
                <w:sz w:val="22"/>
                <w:szCs w:val="22"/>
                <w:vertAlign w:val="subscript"/>
              </w:rPr>
              <w:t>x</w:t>
            </w:r>
          </w:p>
        </w:tc>
        <w:tc>
          <w:tcPr>
            <w:tcW w:w="1260" w:type="dxa"/>
            <w:tcBorders>
              <w:top w:val="double" w:sz="4" w:space="0" w:color="auto"/>
              <w:bottom w:val="double" w:sz="6" w:space="0" w:color="auto"/>
            </w:tcBorders>
            <w:shd w:val="clear" w:color="auto" w:fill="auto"/>
          </w:tcPr>
          <w:p w:rsidR="00FD6FB5" w:rsidRPr="007009EE" w:rsidRDefault="00FD6FB5">
            <w:pPr>
              <w:pStyle w:val="Header"/>
              <w:tabs>
                <w:tab w:val="clear" w:pos="4320"/>
                <w:tab w:val="clear" w:pos="8640"/>
              </w:tabs>
              <w:jc w:val="center"/>
              <w:rPr>
                <w:b/>
                <w:bCs/>
                <w:sz w:val="22"/>
                <w:szCs w:val="22"/>
              </w:rPr>
            </w:pPr>
            <w:r w:rsidRPr="007009EE">
              <w:rPr>
                <w:b/>
                <w:bCs/>
                <w:sz w:val="22"/>
                <w:szCs w:val="22"/>
              </w:rPr>
              <w:t>SO</w:t>
            </w:r>
            <w:r w:rsidRPr="007009EE">
              <w:rPr>
                <w:b/>
                <w:bCs/>
                <w:sz w:val="22"/>
                <w:szCs w:val="22"/>
                <w:vertAlign w:val="subscript"/>
              </w:rPr>
              <w:t>x</w:t>
            </w:r>
          </w:p>
        </w:tc>
        <w:tc>
          <w:tcPr>
            <w:tcW w:w="1350" w:type="dxa"/>
            <w:tcBorders>
              <w:top w:val="double" w:sz="4" w:space="0" w:color="auto"/>
              <w:bottom w:val="double" w:sz="6" w:space="0" w:color="auto"/>
            </w:tcBorders>
            <w:shd w:val="clear" w:color="auto" w:fill="auto"/>
          </w:tcPr>
          <w:p w:rsidR="00FD6FB5" w:rsidRPr="007009EE" w:rsidRDefault="00FD6FB5">
            <w:pPr>
              <w:pStyle w:val="Header"/>
              <w:tabs>
                <w:tab w:val="clear" w:pos="4320"/>
                <w:tab w:val="clear" w:pos="8640"/>
              </w:tabs>
              <w:jc w:val="center"/>
              <w:rPr>
                <w:b/>
                <w:bCs/>
                <w:sz w:val="22"/>
                <w:szCs w:val="22"/>
              </w:rPr>
            </w:pPr>
            <w:r w:rsidRPr="007009EE">
              <w:rPr>
                <w:b/>
                <w:bCs/>
                <w:sz w:val="22"/>
                <w:szCs w:val="22"/>
              </w:rPr>
              <w:t>PM</w:t>
            </w:r>
            <w:r w:rsidRPr="007009EE">
              <w:rPr>
                <w:b/>
                <w:bCs/>
                <w:sz w:val="22"/>
                <w:szCs w:val="22"/>
                <w:vertAlign w:val="subscript"/>
              </w:rPr>
              <w:t>10</w:t>
            </w:r>
          </w:p>
        </w:tc>
        <w:tc>
          <w:tcPr>
            <w:tcW w:w="1260" w:type="dxa"/>
            <w:tcBorders>
              <w:top w:val="double" w:sz="4" w:space="0" w:color="auto"/>
              <w:bottom w:val="double" w:sz="6" w:space="0" w:color="auto"/>
            </w:tcBorders>
            <w:shd w:val="clear" w:color="auto" w:fill="auto"/>
          </w:tcPr>
          <w:p w:rsidR="00FD6FB5" w:rsidRPr="007009EE" w:rsidRDefault="00FD6FB5">
            <w:pPr>
              <w:pStyle w:val="Header"/>
              <w:tabs>
                <w:tab w:val="clear" w:pos="4320"/>
                <w:tab w:val="clear" w:pos="8640"/>
              </w:tabs>
              <w:jc w:val="center"/>
              <w:rPr>
                <w:b/>
                <w:bCs/>
                <w:sz w:val="22"/>
                <w:szCs w:val="22"/>
              </w:rPr>
            </w:pPr>
            <w:r w:rsidRPr="007009EE">
              <w:rPr>
                <w:b/>
                <w:bCs/>
                <w:sz w:val="22"/>
                <w:szCs w:val="22"/>
              </w:rPr>
              <w:t>CO</w:t>
            </w:r>
          </w:p>
        </w:tc>
        <w:tc>
          <w:tcPr>
            <w:tcW w:w="1260" w:type="dxa"/>
            <w:tcBorders>
              <w:top w:val="double" w:sz="4" w:space="0" w:color="auto"/>
              <w:bottom w:val="double" w:sz="6" w:space="0" w:color="auto"/>
              <w:right w:val="double" w:sz="4" w:space="0" w:color="auto"/>
            </w:tcBorders>
            <w:shd w:val="clear" w:color="auto" w:fill="auto"/>
          </w:tcPr>
          <w:p w:rsidR="00FD6FB5" w:rsidRPr="007009EE" w:rsidRDefault="00FD6FB5">
            <w:pPr>
              <w:pStyle w:val="Header"/>
              <w:tabs>
                <w:tab w:val="clear" w:pos="4320"/>
                <w:tab w:val="clear" w:pos="8640"/>
              </w:tabs>
              <w:jc w:val="center"/>
              <w:rPr>
                <w:b/>
                <w:bCs/>
                <w:sz w:val="22"/>
                <w:szCs w:val="22"/>
              </w:rPr>
            </w:pPr>
            <w:r w:rsidRPr="007009EE">
              <w:rPr>
                <w:b/>
                <w:bCs/>
                <w:sz w:val="22"/>
                <w:szCs w:val="22"/>
              </w:rPr>
              <w:t>VOC</w:t>
            </w:r>
          </w:p>
        </w:tc>
      </w:tr>
      <w:tr w:rsidR="00FD6FB5">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double" w:sz="6" w:space="0" w:color="auto"/>
              <w:bottom w:val="single" w:sz="4" w:space="0" w:color="auto"/>
            </w:tcBorders>
            <w:vAlign w:val="center"/>
          </w:tcPr>
          <w:p w:rsidR="00FD6FB5" w:rsidRPr="007009EE" w:rsidRDefault="00FD6FB5">
            <w:pPr>
              <w:suppressAutoHyphens/>
              <w:jc w:val="center"/>
              <w:rPr>
                <w:color w:val="0000FF"/>
                <w:spacing w:val="-3"/>
                <w:sz w:val="22"/>
                <w:szCs w:val="22"/>
              </w:rPr>
            </w:pPr>
            <w:r w:rsidRPr="007009EE">
              <w:rPr>
                <w:color w:val="0000FF"/>
                <w:spacing w:val="-3"/>
                <w:sz w:val="22"/>
                <w:szCs w:val="22"/>
              </w:rPr>
              <w:t>C-xxxx-x-x</w:t>
            </w:r>
          </w:p>
        </w:tc>
        <w:tc>
          <w:tcPr>
            <w:tcW w:w="126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35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double" w:sz="6" w:space="0" w:color="auto"/>
              <w:bottom w:val="sing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r>
      <w:tr w:rsidR="00FD6FB5">
        <w:tblPrEx>
          <w:tblBorders>
            <w:top w:val="double" w:sz="4" w:space="0" w:color="auto"/>
            <w:left w:val="double" w:sz="4" w:space="0" w:color="auto"/>
            <w:bottom w:val="double" w:sz="4" w:space="0" w:color="auto"/>
            <w:right w:val="double" w:sz="4" w:space="0" w:color="auto"/>
          </w:tblBorders>
        </w:tblPrEx>
        <w:trPr>
          <w:cantSplit/>
        </w:trPr>
        <w:tc>
          <w:tcPr>
            <w:tcW w:w="1800" w:type="dxa"/>
            <w:tcBorders>
              <w:top w:val="single" w:sz="12" w:space="0" w:color="auto"/>
              <w:bottom w:val="double" w:sz="4" w:space="0" w:color="auto"/>
            </w:tcBorders>
            <w:vAlign w:val="center"/>
          </w:tcPr>
          <w:p w:rsidR="00FD6FB5" w:rsidRPr="007009EE" w:rsidRDefault="00FD6FB5">
            <w:pPr>
              <w:tabs>
                <w:tab w:val="left" w:pos="-720"/>
              </w:tabs>
              <w:suppressAutoHyphens/>
              <w:ind w:right="-360"/>
              <w:jc w:val="center"/>
              <w:rPr>
                <w:sz w:val="22"/>
                <w:szCs w:val="22"/>
              </w:rPr>
            </w:pPr>
            <w:r w:rsidRPr="007009EE">
              <w:rPr>
                <w:sz w:val="22"/>
                <w:szCs w:val="22"/>
              </w:rPr>
              <w:t>Total</w:t>
            </w:r>
          </w:p>
        </w:tc>
        <w:tc>
          <w:tcPr>
            <w:tcW w:w="126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35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260" w:type="dxa"/>
            <w:tcBorders>
              <w:top w:val="single" w:sz="12" w:space="0" w:color="auto"/>
              <w:bottom w:val="double" w:sz="4" w:space="0" w:color="auto"/>
            </w:tcBorders>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r>
    </w:tbl>
    <w:p w:rsidR="00FD6FB5" w:rsidRDefault="00FD6FB5">
      <w:pPr>
        <w:pStyle w:val="Heading5"/>
        <w:ind w:firstLine="1080"/>
        <w:rPr>
          <w:szCs w:val="24"/>
        </w:rPr>
      </w:pPr>
    </w:p>
    <w:p w:rsidR="00FD6FB5" w:rsidRDefault="00FD6FB5">
      <w:pPr>
        <w:pStyle w:val="Heading5"/>
        <w:ind w:firstLine="1080"/>
        <w:rPr>
          <w:szCs w:val="24"/>
        </w:rPr>
      </w:pPr>
      <w:r>
        <w:rPr>
          <w:szCs w:val="24"/>
        </w:rPr>
        <w:t>5.</w:t>
      </w:r>
      <w:r>
        <w:rPr>
          <w:szCs w:val="24"/>
        </w:rPr>
        <w:tab/>
        <w:t>Major Source Determination</w:t>
      </w:r>
    </w:p>
    <w:p w:rsidR="00FD6FB5" w:rsidRDefault="00FD6FB5">
      <w:pPr>
        <w:suppressAutoHyphens/>
        <w:jc w:val="both"/>
        <w:rPr>
          <w:b/>
          <w:spacing w:val="-3"/>
        </w:rPr>
      </w:pPr>
    </w:p>
    <w:p w:rsidR="00FD6FB5" w:rsidRDefault="00FD6FB5">
      <w:pPr>
        <w:pStyle w:val="BodyTex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leader="dot" w:pos="10080"/>
        </w:tabs>
        <w:suppressAutoHyphens/>
        <w:ind w:left="1440"/>
        <w:jc w:val="both"/>
        <w:rPr>
          <w:rFonts w:ascii="Arial" w:hAnsi="Arial" w:cs="Arial"/>
          <w:sz w:val="24"/>
        </w:rPr>
      </w:pPr>
      <w:r>
        <w:rPr>
          <w:rFonts w:ascii="Arial" w:hAnsi="Arial" w:cs="Arial"/>
          <w:sz w:val="24"/>
        </w:rPr>
        <w:t>A Major Source is a facility where the SSPE2 for any pollutant exceeds the following Major Source threshold values:</w:t>
      </w:r>
    </w:p>
    <w:p w:rsidR="00FD6FB5" w:rsidRDefault="00FD6FB5">
      <w:pPr>
        <w:suppressAutoHyphens/>
        <w:ind w:left="1440"/>
        <w:jc w:val="both"/>
      </w:pPr>
    </w:p>
    <w:tbl>
      <w:tblPr>
        <w:tblW w:w="8640"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0"/>
        <w:gridCol w:w="1152"/>
        <w:gridCol w:w="1152"/>
        <w:gridCol w:w="1152"/>
        <w:gridCol w:w="1152"/>
        <w:gridCol w:w="1152"/>
      </w:tblGrid>
      <w:tr w:rsidR="00FD6FB5" w:rsidTr="00737653">
        <w:trPr>
          <w:cantSplit/>
          <w:trHeight w:val="383"/>
        </w:trPr>
        <w:tc>
          <w:tcPr>
            <w:tcW w:w="864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FD6FB5" w:rsidRPr="007009EE" w:rsidRDefault="00FD6FB5" w:rsidP="009A4D6E">
            <w:pPr>
              <w:pStyle w:val="Heading1"/>
              <w:spacing w:before="40" w:after="40"/>
              <w:rPr>
                <w:b/>
                <w:sz w:val="22"/>
                <w:szCs w:val="22"/>
              </w:rPr>
            </w:pPr>
            <w:r w:rsidRPr="007009EE">
              <w:rPr>
                <w:b/>
                <w:sz w:val="22"/>
                <w:szCs w:val="22"/>
              </w:rPr>
              <w:t>Major Source</w:t>
            </w:r>
          </w:p>
        </w:tc>
      </w:tr>
      <w:tr w:rsidR="00FD6FB5" w:rsidTr="00737653">
        <w:tc>
          <w:tcPr>
            <w:tcW w:w="2880" w:type="dxa"/>
            <w:tcBorders>
              <w:top w:val="double" w:sz="6" w:space="0" w:color="000000"/>
              <w:left w:val="double" w:sz="6" w:space="0" w:color="000000"/>
              <w:bottom w:val="double" w:sz="6" w:space="0" w:color="auto"/>
              <w:right w:val="double" w:sz="6" w:space="0" w:color="000000"/>
            </w:tcBorders>
            <w:shd w:val="clear" w:color="auto" w:fill="auto"/>
          </w:tcPr>
          <w:p w:rsidR="00FD6FB5" w:rsidRPr="007009EE" w:rsidRDefault="00FD6FB5">
            <w:pPr>
              <w:jc w:val="center"/>
              <w:rPr>
                <w:b/>
                <w:bCs/>
                <w:snapToGrid w:val="0"/>
                <w:color w:val="000000"/>
                <w:sz w:val="22"/>
                <w:szCs w:val="22"/>
              </w:rPr>
            </w:pPr>
            <w:r w:rsidRPr="007009EE">
              <w:rPr>
                <w:b/>
                <w:bCs/>
                <w:spacing w:val="-3"/>
                <w:sz w:val="22"/>
                <w:szCs w:val="22"/>
              </w:rPr>
              <w:t>Pollutant</w:t>
            </w:r>
          </w:p>
        </w:tc>
        <w:tc>
          <w:tcPr>
            <w:tcW w:w="1152" w:type="dxa"/>
            <w:tcBorders>
              <w:top w:val="double" w:sz="6" w:space="0" w:color="000000"/>
              <w:left w:val="nil"/>
              <w:bottom w:val="double" w:sz="6" w:space="0" w:color="auto"/>
            </w:tcBorders>
            <w:shd w:val="clear" w:color="auto" w:fill="auto"/>
            <w:vAlign w:val="center"/>
          </w:tcPr>
          <w:p w:rsidR="00FD6FB5" w:rsidRPr="007009EE" w:rsidRDefault="00FD6FB5">
            <w:pPr>
              <w:jc w:val="center"/>
              <w:rPr>
                <w:b/>
                <w:bCs/>
                <w:snapToGrid w:val="0"/>
                <w:color w:val="000000"/>
                <w:sz w:val="22"/>
                <w:szCs w:val="22"/>
              </w:rPr>
            </w:pPr>
            <w:r w:rsidRPr="007009EE">
              <w:rPr>
                <w:b/>
                <w:bCs/>
                <w:snapToGrid w:val="0"/>
                <w:color w:val="000000"/>
                <w:sz w:val="22"/>
                <w:szCs w:val="22"/>
              </w:rPr>
              <w:t>NO</w:t>
            </w:r>
            <w:r w:rsidRPr="007009EE">
              <w:rPr>
                <w:b/>
                <w:bCs/>
                <w:snapToGrid w:val="0"/>
                <w:color w:val="000000"/>
                <w:sz w:val="22"/>
                <w:szCs w:val="22"/>
                <w:vertAlign w:val="subscript"/>
              </w:rPr>
              <w:t>x</w:t>
            </w:r>
          </w:p>
        </w:tc>
        <w:tc>
          <w:tcPr>
            <w:tcW w:w="1152" w:type="dxa"/>
            <w:tcBorders>
              <w:top w:val="double" w:sz="6" w:space="0" w:color="000000"/>
              <w:bottom w:val="double" w:sz="6" w:space="0" w:color="auto"/>
            </w:tcBorders>
            <w:shd w:val="clear" w:color="auto" w:fill="auto"/>
            <w:vAlign w:val="center"/>
          </w:tcPr>
          <w:p w:rsidR="00FD6FB5" w:rsidRPr="007009EE" w:rsidRDefault="00FD6FB5">
            <w:pPr>
              <w:jc w:val="center"/>
              <w:rPr>
                <w:b/>
                <w:bCs/>
                <w:snapToGrid w:val="0"/>
                <w:color w:val="000000"/>
                <w:sz w:val="22"/>
                <w:szCs w:val="22"/>
              </w:rPr>
            </w:pPr>
            <w:r w:rsidRPr="007009EE">
              <w:rPr>
                <w:b/>
                <w:bCs/>
                <w:snapToGrid w:val="0"/>
                <w:color w:val="000000"/>
                <w:sz w:val="22"/>
                <w:szCs w:val="22"/>
              </w:rPr>
              <w:t>SO</w:t>
            </w:r>
            <w:r w:rsidRPr="007009EE">
              <w:rPr>
                <w:b/>
                <w:bCs/>
                <w:snapToGrid w:val="0"/>
                <w:color w:val="000000"/>
                <w:sz w:val="22"/>
                <w:szCs w:val="22"/>
                <w:vertAlign w:val="subscript"/>
              </w:rPr>
              <w:t>x</w:t>
            </w:r>
          </w:p>
        </w:tc>
        <w:tc>
          <w:tcPr>
            <w:tcW w:w="1152" w:type="dxa"/>
            <w:tcBorders>
              <w:top w:val="double" w:sz="6" w:space="0" w:color="000000"/>
              <w:bottom w:val="double" w:sz="6" w:space="0" w:color="auto"/>
            </w:tcBorders>
            <w:shd w:val="clear" w:color="auto" w:fill="auto"/>
            <w:vAlign w:val="center"/>
          </w:tcPr>
          <w:p w:rsidR="00FD6FB5" w:rsidRPr="007009EE" w:rsidRDefault="00FD6FB5">
            <w:pPr>
              <w:jc w:val="center"/>
              <w:rPr>
                <w:b/>
                <w:bCs/>
                <w:snapToGrid w:val="0"/>
                <w:color w:val="000000"/>
                <w:sz w:val="22"/>
                <w:szCs w:val="22"/>
                <w:vertAlign w:val="subscript"/>
              </w:rPr>
            </w:pPr>
            <w:r w:rsidRPr="007009EE">
              <w:rPr>
                <w:b/>
                <w:bCs/>
                <w:snapToGrid w:val="0"/>
                <w:color w:val="000000"/>
                <w:sz w:val="22"/>
                <w:szCs w:val="22"/>
              </w:rPr>
              <w:t>PM</w:t>
            </w:r>
            <w:r w:rsidRPr="007009EE">
              <w:rPr>
                <w:b/>
                <w:bCs/>
                <w:snapToGrid w:val="0"/>
                <w:color w:val="000000"/>
                <w:sz w:val="22"/>
                <w:szCs w:val="22"/>
                <w:vertAlign w:val="subscript"/>
              </w:rPr>
              <w:t>10</w:t>
            </w:r>
          </w:p>
        </w:tc>
        <w:tc>
          <w:tcPr>
            <w:tcW w:w="1152" w:type="dxa"/>
            <w:tcBorders>
              <w:top w:val="double" w:sz="6" w:space="0" w:color="000000"/>
              <w:bottom w:val="double" w:sz="6" w:space="0" w:color="auto"/>
            </w:tcBorders>
            <w:shd w:val="clear" w:color="auto" w:fill="auto"/>
            <w:vAlign w:val="center"/>
          </w:tcPr>
          <w:p w:rsidR="00FD6FB5" w:rsidRPr="007009EE" w:rsidRDefault="00FD6FB5">
            <w:pPr>
              <w:jc w:val="center"/>
              <w:rPr>
                <w:b/>
                <w:bCs/>
                <w:snapToGrid w:val="0"/>
                <w:color w:val="000000"/>
                <w:sz w:val="22"/>
                <w:szCs w:val="22"/>
              </w:rPr>
            </w:pPr>
            <w:r w:rsidRPr="007009EE">
              <w:rPr>
                <w:b/>
                <w:bCs/>
                <w:snapToGrid w:val="0"/>
                <w:color w:val="000000"/>
                <w:sz w:val="22"/>
                <w:szCs w:val="22"/>
              </w:rPr>
              <w:t>CO</w:t>
            </w:r>
          </w:p>
        </w:tc>
        <w:tc>
          <w:tcPr>
            <w:tcW w:w="1152" w:type="dxa"/>
            <w:tcBorders>
              <w:top w:val="double" w:sz="6" w:space="0" w:color="000000"/>
              <w:bottom w:val="double" w:sz="6" w:space="0" w:color="auto"/>
              <w:right w:val="double" w:sz="6" w:space="0" w:color="000000"/>
            </w:tcBorders>
            <w:shd w:val="clear" w:color="auto" w:fill="auto"/>
            <w:vAlign w:val="center"/>
          </w:tcPr>
          <w:p w:rsidR="00FD6FB5" w:rsidRPr="007009EE" w:rsidRDefault="00FD6FB5">
            <w:pPr>
              <w:jc w:val="center"/>
              <w:rPr>
                <w:b/>
                <w:bCs/>
                <w:snapToGrid w:val="0"/>
                <w:color w:val="000000"/>
                <w:sz w:val="22"/>
                <w:szCs w:val="22"/>
              </w:rPr>
            </w:pPr>
            <w:r w:rsidRPr="007009EE">
              <w:rPr>
                <w:b/>
                <w:bCs/>
                <w:snapToGrid w:val="0"/>
                <w:color w:val="000000"/>
                <w:sz w:val="22"/>
                <w:szCs w:val="22"/>
              </w:rPr>
              <w:t>VOC</w:t>
            </w:r>
          </w:p>
        </w:tc>
      </w:tr>
      <w:tr w:rsidR="00FD6FB5" w:rsidTr="00737653">
        <w:tc>
          <w:tcPr>
            <w:tcW w:w="2880" w:type="dxa"/>
            <w:tcBorders>
              <w:top w:val="double" w:sz="6" w:space="0" w:color="auto"/>
              <w:left w:val="double" w:sz="6" w:space="0" w:color="000000"/>
              <w:bottom w:val="single" w:sz="6" w:space="0" w:color="000000"/>
              <w:right w:val="double" w:sz="6" w:space="0" w:color="000000"/>
            </w:tcBorders>
            <w:shd w:val="clear" w:color="auto" w:fill="auto"/>
            <w:vAlign w:val="center"/>
          </w:tcPr>
          <w:p w:rsidR="00FD6FB5" w:rsidRPr="007009EE" w:rsidRDefault="00FD6FB5">
            <w:pPr>
              <w:suppressAutoHyphens/>
              <w:jc w:val="center"/>
              <w:rPr>
                <w:sz w:val="22"/>
                <w:szCs w:val="22"/>
              </w:rPr>
            </w:pPr>
            <w:r w:rsidRPr="007009EE">
              <w:rPr>
                <w:sz w:val="22"/>
                <w:szCs w:val="22"/>
              </w:rPr>
              <w:t>SSPE2 (lb/yr)</w:t>
            </w:r>
          </w:p>
        </w:tc>
        <w:tc>
          <w:tcPr>
            <w:tcW w:w="1152" w:type="dxa"/>
            <w:tcBorders>
              <w:top w:val="double" w:sz="6" w:space="0" w:color="auto"/>
              <w:left w:val="nil"/>
              <w:bottom w:val="single" w:sz="6" w:space="0" w:color="000000"/>
            </w:tcBorders>
            <w:shd w:val="clear" w:color="auto" w:fill="auto"/>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152" w:type="dxa"/>
            <w:tcBorders>
              <w:top w:val="double" w:sz="6" w:space="0" w:color="auto"/>
              <w:bottom w:val="single" w:sz="6" w:space="0" w:color="000000"/>
            </w:tcBorders>
            <w:shd w:val="clear" w:color="auto" w:fill="auto"/>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152" w:type="dxa"/>
            <w:tcBorders>
              <w:top w:val="double" w:sz="6" w:space="0" w:color="auto"/>
              <w:bottom w:val="single" w:sz="6" w:space="0" w:color="000000"/>
            </w:tcBorders>
            <w:shd w:val="clear" w:color="auto" w:fill="auto"/>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152" w:type="dxa"/>
            <w:tcBorders>
              <w:top w:val="double" w:sz="6" w:space="0" w:color="auto"/>
              <w:bottom w:val="single" w:sz="6" w:space="0" w:color="000000"/>
            </w:tcBorders>
            <w:shd w:val="clear" w:color="auto" w:fill="auto"/>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c>
          <w:tcPr>
            <w:tcW w:w="1152" w:type="dxa"/>
            <w:tcBorders>
              <w:top w:val="double" w:sz="6" w:space="0" w:color="auto"/>
              <w:bottom w:val="single" w:sz="6" w:space="0" w:color="000000"/>
              <w:right w:val="double" w:sz="6" w:space="0" w:color="000000"/>
            </w:tcBorders>
            <w:shd w:val="clear" w:color="auto" w:fill="auto"/>
          </w:tcPr>
          <w:p w:rsidR="00FD6FB5" w:rsidRPr="007009EE" w:rsidRDefault="00FD6FB5">
            <w:pPr>
              <w:tabs>
                <w:tab w:val="left" w:pos="-720"/>
              </w:tabs>
              <w:suppressAutoHyphens/>
              <w:ind w:left="-108" w:right="-124"/>
              <w:jc w:val="center"/>
              <w:rPr>
                <w:color w:val="0000FF"/>
                <w:sz w:val="22"/>
                <w:szCs w:val="22"/>
              </w:rPr>
            </w:pPr>
            <w:r w:rsidRPr="007009EE">
              <w:rPr>
                <w:color w:val="0000FF"/>
                <w:sz w:val="22"/>
                <w:szCs w:val="22"/>
              </w:rPr>
              <w:t>[  ]</w:t>
            </w:r>
          </w:p>
        </w:tc>
      </w:tr>
      <w:tr w:rsidR="00FD6FB5" w:rsidTr="00737653">
        <w:tc>
          <w:tcPr>
            <w:tcW w:w="2880" w:type="dxa"/>
            <w:tcBorders>
              <w:left w:val="double" w:sz="6" w:space="0" w:color="000000"/>
              <w:bottom w:val="single" w:sz="12" w:space="0" w:color="000000"/>
              <w:right w:val="double" w:sz="6" w:space="0" w:color="000000"/>
            </w:tcBorders>
            <w:shd w:val="clear" w:color="auto" w:fill="auto"/>
            <w:vAlign w:val="center"/>
          </w:tcPr>
          <w:p w:rsidR="00FD6FB5" w:rsidRPr="007009EE" w:rsidRDefault="00FD6FB5">
            <w:pPr>
              <w:suppressAutoHyphens/>
              <w:jc w:val="center"/>
              <w:rPr>
                <w:sz w:val="22"/>
                <w:szCs w:val="22"/>
              </w:rPr>
            </w:pPr>
            <w:r w:rsidRPr="007009EE">
              <w:rPr>
                <w:sz w:val="22"/>
                <w:szCs w:val="22"/>
              </w:rPr>
              <w:t>Major Source Threshold</w:t>
            </w:r>
          </w:p>
        </w:tc>
        <w:tc>
          <w:tcPr>
            <w:tcW w:w="1152" w:type="dxa"/>
            <w:tcBorders>
              <w:left w:val="nil"/>
              <w:bottom w:val="single" w:sz="12" w:space="0" w:color="000000"/>
            </w:tcBorders>
            <w:shd w:val="clear" w:color="auto" w:fill="auto"/>
          </w:tcPr>
          <w:p w:rsidR="00FD6FB5" w:rsidRPr="007009EE" w:rsidRDefault="001A7F38">
            <w:pPr>
              <w:suppressAutoHyphens/>
              <w:jc w:val="center"/>
              <w:rPr>
                <w:sz w:val="22"/>
                <w:szCs w:val="22"/>
              </w:rPr>
            </w:pPr>
            <w:r w:rsidRPr="007009EE">
              <w:rPr>
                <w:sz w:val="22"/>
                <w:szCs w:val="22"/>
              </w:rPr>
              <w:t>2</w:t>
            </w:r>
            <w:r w:rsidR="00FD6FB5" w:rsidRPr="007009EE">
              <w:rPr>
                <w:sz w:val="22"/>
                <w:szCs w:val="22"/>
              </w:rPr>
              <w:t>0,000</w:t>
            </w:r>
          </w:p>
        </w:tc>
        <w:tc>
          <w:tcPr>
            <w:tcW w:w="1152" w:type="dxa"/>
            <w:tcBorders>
              <w:bottom w:val="single" w:sz="12" w:space="0" w:color="000000"/>
            </w:tcBorders>
            <w:shd w:val="clear" w:color="auto" w:fill="auto"/>
          </w:tcPr>
          <w:p w:rsidR="00FD6FB5" w:rsidRPr="007009EE" w:rsidRDefault="00FD6FB5">
            <w:pPr>
              <w:suppressAutoHyphens/>
              <w:jc w:val="center"/>
              <w:rPr>
                <w:sz w:val="22"/>
                <w:szCs w:val="22"/>
              </w:rPr>
            </w:pPr>
            <w:r w:rsidRPr="007009EE">
              <w:rPr>
                <w:sz w:val="22"/>
                <w:szCs w:val="22"/>
              </w:rPr>
              <w:t>140,000</w:t>
            </w:r>
          </w:p>
        </w:tc>
        <w:tc>
          <w:tcPr>
            <w:tcW w:w="1152" w:type="dxa"/>
            <w:tcBorders>
              <w:bottom w:val="single" w:sz="12" w:space="0" w:color="000000"/>
            </w:tcBorders>
            <w:shd w:val="clear" w:color="auto" w:fill="auto"/>
          </w:tcPr>
          <w:p w:rsidR="00FD6FB5" w:rsidRPr="007009EE" w:rsidRDefault="00FD6FB5">
            <w:pPr>
              <w:suppressAutoHyphens/>
              <w:jc w:val="center"/>
              <w:rPr>
                <w:sz w:val="22"/>
                <w:szCs w:val="22"/>
              </w:rPr>
            </w:pPr>
            <w:r w:rsidRPr="007009EE">
              <w:rPr>
                <w:sz w:val="22"/>
                <w:szCs w:val="22"/>
              </w:rPr>
              <w:t>140,000</w:t>
            </w:r>
          </w:p>
        </w:tc>
        <w:tc>
          <w:tcPr>
            <w:tcW w:w="1152" w:type="dxa"/>
            <w:tcBorders>
              <w:bottom w:val="single" w:sz="12" w:space="0" w:color="000000"/>
            </w:tcBorders>
            <w:shd w:val="clear" w:color="auto" w:fill="auto"/>
          </w:tcPr>
          <w:p w:rsidR="00FD6FB5" w:rsidRPr="007009EE" w:rsidRDefault="00FD6FB5">
            <w:pPr>
              <w:suppressAutoHyphens/>
              <w:jc w:val="center"/>
              <w:rPr>
                <w:sz w:val="22"/>
                <w:szCs w:val="22"/>
              </w:rPr>
            </w:pPr>
            <w:r w:rsidRPr="007009EE">
              <w:rPr>
                <w:sz w:val="22"/>
                <w:szCs w:val="22"/>
              </w:rPr>
              <w:t>200,000</w:t>
            </w:r>
          </w:p>
        </w:tc>
        <w:tc>
          <w:tcPr>
            <w:tcW w:w="1152" w:type="dxa"/>
            <w:tcBorders>
              <w:bottom w:val="single" w:sz="12" w:space="0" w:color="000000"/>
              <w:right w:val="double" w:sz="6" w:space="0" w:color="000000"/>
            </w:tcBorders>
            <w:shd w:val="clear" w:color="auto" w:fill="auto"/>
          </w:tcPr>
          <w:p w:rsidR="00FD6FB5" w:rsidRPr="007009EE" w:rsidRDefault="001A7F38">
            <w:pPr>
              <w:suppressAutoHyphens/>
              <w:jc w:val="center"/>
              <w:rPr>
                <w:sz w:val="22"/>
                <w:szCs w:val="22"/>
              </w:rPr>
            </w:pPr>
            <w:r w:rsidRPr="007009EE">
              <w:rPr>
                <w:sz w:val="22"/>
                <w:szCs w:val="22"/>
              </w:rPr>
              <w:t>2</w:t>
            </w:r>
            <w:r w:rsidR="00FD6FB5" w:rsidRPr="007009EE">
              <w:rPr>
                <w:sz w:val="22"/>
                <w:szCs w:val="22"/>
              </w:rPr>
              <w:t>0,000</w:t>
            </w:r>
          </w:p>
        </w:tc>
      </w:tr>
      <w:tr w:rsidR="00FD6FB5" w:rsidTr="00737653">
        <w:tc>
          <w:tcPr>
            <w:tcW w:w="2880" w:type="dxa"/>
            <w:tcBorders>
              <w:top w:val="single" w:sz="12" w:space="0" w:color="000000"/>
              <w:left w:val="double" w:sz="6" w:space="0" w:color="000000"/>
              <w:bottom w:val="double" w:sz="6" w:space="0" w:color="000000"/>
              <w:right w:val="double" w:sz="6" w:space="0" w:color="000000"/>
            </w:tcBorders>
            <w:shd w:val="clear" w:color="auto" w:fill="auto"/>
            <w:vAlign w:val="center"/>
          </w:tcPr>
          <w:p w:rsidR="00FD6FB5" w:rsidRPr="007009EE" w:rsidRDefault="00FD6FB5">
            <w:pPr>
              <w:suppressAutoHyphens/>
              <w:jc w:val="center"/>
              <w:rPr>
                <w:sz w:val="22"/>
                <w:szCs w:val="22"/>
              </w:rPr>
            </w:pPr>
            <w:r w:rsidRPr="007009EE">
              <w:rPr>
                <w:sz w:val="22"/>
                <w:szCs w:val="22"/>
              </w:rPr>
              <w:t>Major Source?</w:t>
            </w:r>
          </w:p>
        </w:tc>
        <w:tc>
          <w:tcPr>
            <w:tcW w:w="1152" w:type="dxa"/>
            <w:tcBorders>
              <w:top w:val="single" w:sz="12" w:space="0" w:color="000000"/>
              <w:left w:val="nil"/>
              <w:bottom w:val="double" w:sz="6" w:space="0" w:color="000000"/>
            </w:tcBorders>
            <w:shd w:val="clear" w:color="auto" w:fill="auto"/>
            <w:vAlign w:val="center"/>
          </w:tcPr>
          <w:p w:rsidR="00FD6FB5" w:rsidRPr="007009EE" w:rsidRDefault="00FD6FB5">
            <w:pPr>
              <w:jc w:val="center"/>
              <w:rPr>
                <w:sz w:val="22"/>
                <w:szCs w:val="22"/>
              </w:rPr>
            </w:pPr>
            <w:r w:rsidRPr="007009EE">
              <w:rPr>
                <w:color w:val="0000FF"/>
                <w:spacing w:val="-3"/>
                <w:sz w:val="22"/>
                <w:szCs w:val="22"/>
              </w:rPr>
              <w:t>[Yes or No]</w:t>
            </w:r>
          </w:p>
        </w:tc>
        <w:tc>
          <w:tcPr>
            <w:tcW w:w="1152" w:type="dxa"/>
            <w:tcBorders>
              <w:top w:val="single" w:sz="12" w:space="0" w:color="000000"/>
              <w:bottom w:val="double" w:sz="6" w:space="0" w:color="000000"/>
            </w:tcBorders>
            <w:shd w:val="clear" w:color="auto" w:fill="auto"/>
            <w:vAlign w:val="center"/>
          </w:tcPr>
          <w:p w:rsidR="00FD6FB5" w:rsidRPr="007009EE" w:rsidRDefault="00FD6FB5">
            <w:pPr>
              <w:jc w:val="center"/>
              <w:rPr>
                <w:sz w:val="22"/>
                <w:szCs w:val="22"/>
              </w:rPr>
            </w:pPr>
            <w:r w:rsidRPr="007009EE">
              <w:rPr>
                <w:color w:val="0000FF"/>
                <w:spacing w:val="-3"/>
                <w:sz w:val="22"/>
                <w:szCs w:val="22"/>
              </w:rPr>
              <w:t>[Yes or No]</w:t>
            </w:r>
          </w:p>
        </w:tc>
        <w:tc>
          <w:tcPr>
            <w:tcW w:w="1152" w:type="dxa"/>
            <w:tcBorders>
              <w:top w:val="single" w:sz="12" w:space="0" w:color="000000"/>
              <w:bottom w:val="double" w:sz="6" w:space="0" w:color="000000"/>
            </w:tcBorders>
            <w:shd w:val="clear" w:color="auto" w:fill="auto"/>
            <w:vAlign w:val="center"/>
          </w:tcPr>
          <w:p w:rsidR="00FD6FB5" w:rsidRPr="007009EE" w:rsidRDefault="00FD6FB5">
            <w:pPr>
              <w:jc w:val="center"/>
              <w:rPr>
                <w:sz w:val="22"/>
                <w:szCs w:val="22"/>
              </w:rPr>
            </w:pPr>
            <w:r w:rsidRPr="007009EE">
              <w:rPr>
                <w:color w:val="0000FF"/>
                <w:spacing w:val="-3"/>
                <w:sz w:val="22"/>
                <w:szCs w:val="22"/>
              </w:rPr>
              <w:t>[Yes or No]</w:t>
            </w:r>
          </w:p>
        </w:tc>
        <w:tc>
          <w:tcPr>
            <w:tcW w:w="1152" w:type="dxa"/>
            <w:tcBorders>
              <w:top w:val="single" w:sz="12" w:space="0" w:color="000000"/>
              <w:bottom w:val="double" w:sz="6" w:space="0" w:color="000000"/>
            </w:tcBorders>
            <w:shd w:val="clear" w:color="auto" w:fill="auto"/>
            <w:vAlign w:val="center"/>
          </w:tcPr>
          <w:p w:rsidR="00FD6FB5" w:rsidRPr="007009EE" w:rsidRDefault="00FD6FB5">
            <w:pPr>
              <w:jc w:val="center"/>
              <w:rPr>
                <w:sz w:val="22"/>
                <w:szCs w:val="22"/>
              </w:rPr>
            </w:pPr>
            <w:r w:rsidRPr="007009EE">
              <w:rPr>
                <w:color w:val="0000FF"/>
                <w:spacing w:val="-3"/>
                <w:sz w:val="22"/>
                <w:szCs w:val="22"/>
              </w:rPr>
              <w:t>[Yes or No]</w:t>
            </w:r>
          </w:p>
        </w:tc>
        <w:tc>
          <w:tcPr>
            <w:tcW w:w="1152" w:type="dxa"/>
            <w:tcBorders>
              <w:top w:val="single" w:sz="12" w:space="0" w:color="000000"/>
              <w:bottom w:val="double" w:sz="6" w:space="0" w:color="000000"/>
              <w:right w:val="double" w:sz="6" w:space="0" w:color="000000"/>
            </w:tcBorders>
            <w:shd w:val="clear" w:color="auto" w:fill="auto"/>
            <w:vAlign w:val="center"/>
          </w:tcPr>
          <w:p w:rsidR="00FD6FB5" w:rsidRPr="007009EE" w:rsidRDefault="00FD6FB5">
            <w:pPr>
              <w:jc w:val="center"/>
              <w:rPr>
                <w:sz w:val="22"/>
                <w:szCs w:val="22"/>
              </w:rPr>
            </w:pPr>
            <w:r w:rsidRPr="007009EE">
              <w:rPr>
                <w:color w:val="0000FF"/>
                <w:spacing w:val="-3"/>
                <w:sz w:val="22"/>
                <w:szCs w:val="22"/>
              </w:rPr>
              <w:t>[Yes or No]</w:t>
            </w:r>
          </w:p>
        </w:tc>
      </w:tr>
    </w:tbl>
    <w:p w:rsidR="00FD6FB5" w:rsidRDefault="00FD6FB5">
      <w:pPr>
        <w:suppressAutoHyphens/>
        <w:ind w:left="1440"/>
        <w:jc w:val="both"/>
      </w:pPr>
    </w:p>
    <w:p w:rsidR="00FD6FB5" w:rsidRDefault="00FD6FB5">
      <w:pPr>
        <w:pStyle w:val="BodyTextIndent3"/>
        <w:tabs>
          <w:tab w:val="left" w:pos="450"/>
        </w:tabs>
        <w:rPr>
          <w:spacing w:val="0"/>
          <w:szCs w:val="24"/>
        </w:rPr>
      </w:pPr>
      <w:r>
        <w:rPr>
          <w:spacing w:val="0"/>
          <w:szCs w:val="24"/>
        </w:rPr>
        <w:t xml:space="preserve">Since </w:t>
      </w:r>
      <w:r w:rsidRPr="007876F9">
        <w:rPr>
          <w:spacing w:val="0"/>
          <w:szCs w:val="24"/>
        </w:rPr>
        <w:t>none</w:t>
      </w:r>
      <w:r>
        <w:rPr>
          <w:spacing w:val="0"/>
          <w:szCs w:val="24"/>
        </w:rPr>
        <w:t xml:space="preserve"> of the threshold values in the above table are exceeded, this </w:t>
      </w:r>
      <w:r w:rsidRPr="007876F9">
        <w:rPr>
          <w:spacing w:val="0"/>
          <w:szCs w:val="24"/>
        </w:rPr>
        <w:t>facility is not</w:t>
      </w:r>
      <w:r>
        <w:rPr>
          <w:spacing w:val="0"/>
          <w:szCs w:val="24"/>
        </w:rPr>
        <w:t xml:space="preserve"> a Major Source.</w:t>
      </w:r>
    </w:p>
    <w:p w:rsidR="00FD6FB5" w:rsidRDefault="00FD6FB5">
      <w:pPr>
        <w:pStyle w:val="BodyTextIndent3"/>
        <w:tabs>
          <w:tab w:val="left" w:pos="450"/>
        </w:tabs>
        <w:rPr>
          <w:spacing w:val="0"/>
          <w:szCs w:val="24"/>
        </w:rPr>
      </w:pPr>
    </w:p>
    <w:p w:rsidR="00FD6FB5" w:rsidRDefault="00FD6FB5">
      <w:pPr>
        <w:suppressAutoHyphens/>
        <w:jc w:val="both"/>
        <w:rPr>
          <w:bCs/>
          <w:color w:val="FF0000"/>
          <w:spacing w:val="-3"/>
        </w:rPr>
      </w:pPr>
      <w:r>
        <w:rPr>
          <w:bCs/>
          <w:color w:val="FF0000"/>
          <w:spacing w:val="-3"/>
        </w:rPr>
        <w:t>OR</w:t>
      </w:r>
    </w:p>
    <w:p w:rsidR="00FD6FB5" w:rsidRDefault="00FD6FB5">
      <w:pPr>
        <w:suppressAutoHyphens/>
        <w:ind w:left="1440"/>
        <w:jc w:val="both"/>
        <w:rPr>
          <w:szCs w:val="24"/>
        </w:rPr>
      </w:pPr>
    </w:p>
    <w:p w:rsidR="00FD6FB5" w:rsidRDefault="00FD6FB5">
      <w:pPr>
        <w:suppressAutoHyphens/>
        <w:ind w:left="1440"/>
        <w:jc w:val="both"/>
        <w:rPr>
          <w:i/>
          <w:iCs/>
          <w:color w:val="FF0000"/>
        </w:rPr>
      </w:pPr>
      <w:r>
        <w:rPr>
          <w:szCs w:val="24"/>
        </w:rPr>
        <w:lastRenderedPageBreak/>
        <w:t xml:space="preserve">Since </w:t>
      </w:r>
      <w:r w:rsidRPr="007876F9">
        <w:rPr>
          <w:szCs w:val="24"/>
        </w:rPr>
        <w:t xml:space="preserve">the annual VOC emissions are above the major source threshold values in the above table, this facility is now a Major Source for VOC. </w:t>
      </w:r>
      <w:r w:rsidRPr="007876F9">
        <w:rPr>
          <w:i/>
          <w:iCs/>
          <w:color w:val="FF0000"/>
        </w:rPr>
        <w:t>(</w:t>
      </w:r>
      <w:r>
        <w:rPr>
          <w:i/>
          <w:iCs/>
          <w:color w:val="FF0000"/>
        </w:rPr>
        <w:t>If this is true, this project is NO LONGER A GEAR. Check with your supervisor before further processing.)</w:t>
      </w:r>
    </w:p>
    <w:p w:rsidR="00A70BBE" w:rsidRDefault="00A70BBE">
      <w:pPr>
        <w:suppressAutoHyphens/>
        <w:ind w:left="1440"/>
        <w:jc w:val="both"/>
        <w:rPr>
          <w:i/>
          <w:iCs/>
          <w:color w:val="FF0000"/>
        </w:rPr>
      </w:pPr>
    </w:p>
    <w:p w:rsidR="00C679D5" w:rsidRPr="00066C21" w:rsidRDefault="00C679D5" w:rsidP="00C679D5">
      <w:pPr>
        <w:autoSpaceDE w:val="0"/>
        <w:autoSpaceDN w:val="0"/>
        <w:adjustRightInd w:val="0"/>
        <w:ind w:left="1440"/>
        <w:jc w:val="both"/>
        <w:rPr>
          <w:b/>
          <w:color w:val="000000"/>
          <w:u w:val="single"/>
        </w:rPr>
      </w:pPr>
      <w:r w:rsidRPr="00066C21">
        <w:rPr>
          <w:b/>
          <w:color w:val="000000"/>
          <w:u w:val="single"/>
        </w:rPr>
        <w:t>Rule 2410 Major Source Determination:</w:t>
      </w:r>
    </w:p>
    <w:p w:rsidR="00C679D5" w:rsidRPr="00066C21" w:rsidRDefault="00C679D5" w:rsidP="00C679D5">
      <w:pPr>
        <w:ind w:left="1440" w:hanging="720"/>
        <w:jc w:val="both"/>
        <w:rPr>
          <w:bCs/>
          <w:iCs/>
        </w:rPr>
      </w:pPr>
    </w:p>
    <w:p w:rsidR="00C679D5" w:rsidRPr="00066C21" w:rsidRDefault="00C679D5" w:rsidP="00C679D5">
      <w:pPr>
        <w:suppressAutoHyphens/>
        <w:ind w:left="1440"/>
        <w:jc w:val="both"/>
        <w:rPr>
          <w:rFonts w:cs="Arial"/>
          <w:noProof/>
        </w:rPr>
      </w:pPr>
      <w:r w:rsidRPr="00066C21">
        <w:rPr>
          <w:rFonts w:cs="Arial"/>
          <w:noProof/>
        </w:rPr>
        <w:t xml:space="preserve">The facility or the equipment evaluated under this project is not listed as one of the categories specified in </w:t>
      </w:r>
      <w:r w:rsidRPr="00066C21">
        <w:rPr>
          <w:bCs/>
          <w:iCs/>
        </w:rPr>
        <w:t>40 CFR 52.21 (b)(1)(i).  Therefore the following PSD Major Source thresholds are applicable.</w:t>
      </w:r>
    </w:p>
    <w:p w:rsidR="00C679D5" w:rsidRPr="00A70BBE" w:rsidRDefault="00C679D5" w:rsidP="00C679D5">
      <w:pPr>
        <w:suppressAutoHyphens/>
        <w:ind w:left="720"/>
        <w:jc w:val="both"/>
        <w:rPr>
          <w:rFonts w:cs="Arial"/>
          <w:noProof/>
          <w:color w:val="000000"/>
        </w:rPr>
      </w:pPr>
    </w:p>
    <w:tbl>
      <w:tblPr>
        <w:tblW w:w="9630" w:type="dxa"/>
        <w:tblInd w:w="9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0"/>
        <w:gridCol w:w="810"/>
        <w:gridCol w:w="810"/>
        <w:gridCol w:w="827"/>
        <w:gridCol w:w="703"/>
        <w:gridCol w:w="720"/>
        <w:gridCol w:w="810"/>
        <w:gridCol w:w="1260"/>
      </w:tblGrid>
      <w:tr w:rsidR="00C679D5" w:rsidRPr="00066C21" w:rsidTr="00737653">
        <w:trPr>
          <w:trHeight w:val="618"/>
        </w:trPr>
        <w:tc>
          <w:tcPr>
            <w:tcW w:w="9630" w:type="dxa"/>
            <w:gridSpan w:val="8"/>
            <w:tcBorders>
              <w:top w:val="double" w:sz="4" w:space="0" w:color="auto"/>
              <w:bottom w:val="double" w:sz="4" w:space="0" w:color="auto"/>
            </w:tcBorders>
            <w:shd w:val="clear" w:color="auto" w:fill="auto"/>
            <w:vAlign w:val="center"/>
          </w:tcPr>
          <w:p w:rsidR="00C679D5" w:rsidRPr="00E702D0" w:rsidRDefault="00C679D5" w:rsidP="00537396">
            <w:pPr>
              <w:jc w:val="center"/>
              <w:rPr>
                <w:b/>
                <w:sz w:val="22"/>
                <w:szCs w:val="22"/>
              </w:rPr>
            </w:pPr>
            <w:r w:rsidRPr="00E702D0">
              <w:rPr>
                <w:b/>
                <w:sz w:val="22"/>
                <w:szCs w:val="22"/>
              </w:rPr>
              <w:t>PSD Major Source Determination</w:t>
            </w:r>
          </w:p>
          <w:p w:rsidR="00C679D5" w:rsidRPr="00E702D0" w:rsidRDefault="00C679D5" w:rsidP="00537396">
            <w:pPr>
              <w:jc w:val="center"/>
              <w:rPr>
                <w:rFonts w:cs="Arial"/>
                <w:noProof/>
                <w:color w:val="000000"/>
                <w:sz w:val="22"/>
                <w:szCs w:val="22"/>
              </w:rPr>
            </w:pPr>
            <w:r w:rsidRPr="00E702D0">
              <w:rPr>
                <w:b/>
                <w:sz w:val="22"/>
                <w:szCs w:val="22"/>
              </w:rPr>
              <w:t>(tons/year)</w:t>
            </w:r>
          </w:p>
        </w:tc>
      </w:tr>
      <w:tr w:rsidR="00C679D5" w:rsidRPr="00066C21" w:rsidTr="00737653">
        <w:trPr>
          <w:trHeight w:val="447"/>
        </w:trPr>
        <w:tc>
          <w:tcPr>
            <w:tcW w:w="3690" w:type="dxa"/>
            <w:tcBorders>
              <w:top w:val="double" w:sz="4" w:space="0" w:color="auto"/>
              <w:bottom w:val="single" w:sz="12" w:space="0" w:color="auto"/>
            </w:tcBorders>
            <w:shd w:val="clear" w:color="auto" w:fill="auto"/>
            <w:vAlign w:val="center"/>
          </w:tcPr>
          <w:p w:rsidR="00C679D5" w:rsidRPr="00E702D0" w:rsidRDefault="00C679D5" w:rsidP="00537396">
            <w:pPr>
              <w:jc w:val="both"/>
              <w:rPr>
                <w:rFonts w:cs="Arial"/>
                <w:noProof/>
                <w:color w:val="000000"/>
                <w:sz w:val="22"/>
                <w:szCs w:val="22"/>
              </w:rPr>
            </w:pPr>
          </w:p>
        </w:tc>
        <w:tc>
          <w:tcPr>
            <w:tcW w:w="810" w:type="dxa"/>
            <w:tcBorders>
              <w:top w:val="doub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NO2</w:t>
            </w:r>
          </w:p>
        </w:tc>
        <w:tc>
          <w:tcPr>
            <w:tcW w:w="810" w:type="dxa"/>
            <w:tcBorders>
              <w:top w:val="doub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VOC</w:t>
            </w:r>
          </w:p>
        </w:tc>
        <w:tc>
          <w:tcPr>
            <w:tcW w:w="827" w:type="dxa"/>
            <w:tcBorders>
              <w:top w:val="doub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SO2</w:t>
            </w:r>
          </w:p>
        </w:tc>
        <w:tc>
          <w:tcPr>
            <w:tcW w:w="703" w:type="dxa"/>
            <w:tcBorders>
              <w:top w:val="doub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CO</w:t>
            </w:r>
          </w:p>
        </w:tc>
        <w:tc>
          <w:tcPr>
            <w:tcW w:w="720" w:type="dxa"/>
            <w:tcBorders>
              <w:top w:val="doub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PM</w:t>
            </w:r>
          </w:p>
        </w:tc>
        <w:tc>
          <w:tcPr>
            <w:tcW w:w="810" w:type="dxa"/>
            <w:tcBorders>
              <w:top w:val="doub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PM10</w:t>
            </w:r>
          </w:p>
        </w:tc>
        <w:tc>
          <w:tcPr>
            <w:tcW w:w="1260" w:type="dxa"/>
            <w:tcBorders>
              <w:top w:val="doub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CO2e</w:t>
            </w:r>
          </w:p>
        </w:tc>
      </w:tr>
      <w:tr w:rsidR="00C679D5" w:rsidRPr="00066C21" w:rsidTr="00537396">
        <w:trPr>
          <w:trHeight w:val="609"/>
        </w:trPr>
        <w:tc>
          <w:tcPr>
            <w:tcW w:w="3690" w:type="dxa"/>
            <w:tcBorders>
              <w:top w:val="single" w:sz="12" w:space="0" w:color="auto"/>
              <w:bottom w:val="single" w:sz="4" w:space="0" w:color="auto"/>
            </w:tcBorders>
            <w:shd w:val="clear" w:color="auto" w:fill="auto"/>
            <w:vAlign w:val="center"/>
          </w:tcPr>
          <w:p w:rsidR="00C679D5" w:rsidRPr="00E702D0" w:rsidRDefault="00C679D5" w:rsidP="00537396">
            <w:pPr>
              <w:rPr>
                <w:rFonts w:cs="Arial"/>
                <w:noProof/>
                <w:color w:val="000000"/>
                <w:sz w:val="22"/>
                <w:szCs w:val="22"/>
              </w:rPr>
            </w:pPr>
            <w:r w:rsidRPr="00E702D0">
              <w:rPr>
                <w:rFonts w:cs="Arial"/>
                <w:noProof/>
                <w:color w:val="000000"/>
                <w:sz w:val="22"/>
                <w:szCs w:val="22"/>
              </w:rPr>
              <w:t>Estimated Facility PE before Project Increase</w:t>
            </w:r>
          </w:p>
        </w:tc>
        <w:tc>
          <w:tcPr>
            <w:tcW w:w="810" w:type="dxa"/>
            <w:tcBorders>
              <w:top w:val="single" w:sz="12" w:space="0" w:color="auto"/>
              <w:bottom w:val="single" w:sz="4"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0</w:t>
            </w:r>
          </w:p>
        </w:tc>
        <w:tc>
          <w:tcPr>
            <w:tcW w:w="810" w:type="dxa"/>
            <w:tcBorders>
              <w:top w:val="single" w:sz="12" w:space="0" w:color="auto"/>
              <w:bottom w:val="single" w:sz="4"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0</w:t>
            </w:r>
          </w:p>
        </w:tc>
        <w:tc>
          <w:tcPr>
            <w:tcW w:w="827" w:type="dxa"/>
            <w:tcBorders>
              <w:top w:val="single" w:sz="12" w:space="0" w:color="auto"/>
              <w:bottom w:val="single" w:sz="4"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0</w:t>
            </w:r>
          </w:p>
        </w:tc>
        <w:tc>
          <w:tcPr>
            <w:tcW w:w="703" w:type="dxa"/>
            <w:tcBorders>
              <w:top w:val="single" w:sz="12" w:space="0" w:color="auto"/>
              <w:bottom w:val="single" w:sz="4"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0</w:t>
            </w:r>
          </w:p>
        </w:tc>
        <w:tc>
          <w:tcPr>
            <w:tcW w:w="720" w:type="dxa"/>
            <w:tcBorders>
              <w:top w:val="single" w:sz="12" w:space="0" w:color="auto"/>
              <w:bottom w:val="single" w:sz="4"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0</w:t>
            </w:r>
          </w:p>
        </w:tc>
        <w:tc>
          <w:tcPr>
            <w:tcW w:w="810" w:type="dxa"/>
            <w:tcBorders>
              <w:top w:val="single" w:sz="12" w:space="0" w:color="auto"/>
              <w:bottom w:val="single" w:sz="4"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0</w:t>
            </w:r>
          </w:p>
        </w:tc>
        <w:tc>
          <w:tcPr>
            <w:tcW w:w="1260" w:type="dxa"/>
            <w:tcBorders>
              <w:top w:val="single" w:sz="12" w:space="0" w:color="auto"/>
              <w:bottom w:val="single" w:sz="4"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0</w:t>
            </w:r>
          </w:p>
        </w:tc>
      </w:tr>
      <w:tr w:rsidR="00C679D5" w:rsidRPr="00066C21" w:rsidTr="00537396">
        <w:trPr>
          <w:trHeight w:val="359"/>
        </w:trPr>
        <w:tc>
          <w:tcPr>
            <w:tcW w:w="3690" w:type="dxa"/>
            <w:tcBorders>
              <w:top w:val="single" w:sz="4" w:space="0" w:color="auto"/>
              <w:bottom w:val="single" w:sz="12" w:space="0" w:color="auto"/>
            </w:tcBorders>
            <w:shd w:val="clear" w:color="auto" w:fill="auto"/>
            <w:vAlign w:val="center"/>
          </w:tcPr>
          <w:p w:rsidR="00C679D5" w:rsidRPr="00E702D0" w:rsidRDefault="00C679D5" w:rsidP="00537396">
            <w:pPr>
              <w:rPr>
                <w:rFonts w:cs="Arial"/>
                <w:noProof/>
                <w:color w:val="000000"/>
                <w:sz w:val="22"/>
                <w:szCs w:val="22"/>
              </w:rPr>
            </w:pPr>
            <w:r w:rsidRPr="00E702D0">
              <w:rPr>
                <w:rFonts w:cs="Arial"/>
                <w:noProof/>
                <w:color w:val="000000"/>
                <w:sz w:val="22"/>
                <w:szCs w:val="22"/>
              </w:rPr>
              <w:t>PSD Major Source Thresholds</w:t>
            </w:r>
          </w:p>
        </w:tc>
        <w:tc>
          <w:tcPr>
            <w:tcW w:w="810" w:type="dxa"/>
            <w:tcBorders>
              <w:top w:val="sing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250</w:t>
            </w:r>
          </w:p>
        </w:tc>
        <w:tc>
          <w:tcPr>
            <w:tcW w:w="810" w:type="dxa"/>
            <w:tcBorders>
              <w:top w:val="sing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250</w:t>
            </w:r>
          </w:p>
        </w:tc>
        <w:tc>
          <w:tcPr>
            <w:tcW w:w="827" w:type="dxa"/>
            <w:tcBorders>
              <w:top w:val="sing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250</w:t>
            </w:r>
          </w:p>
        </w:tc>
        <w:tc>
          <w:tcPr>
            <w:tcW w:w="703" w:type="dxa"/>
            <w:tcBorders>
              <w:top w:val="sing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250</w:t>
            </w:r>
          </w:p>
        </w:tc>
        <w:tc>
          <w:tcPr>
            <w:tcW w:w="720" w:type="dxa"/>
            <w:tcBorders>
              <w:top w:val="sing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250</w:t>
            </w:r>
          </w:p>
        </w:tc>
        <w:tc>
          <w:tcPr>
            <w:tcW w:w="810" w:type="dxa"/>
            <w:tcBorders>
              <w:top w:val="sing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250</w:t>
            </w:r>
          </w:p>
        </w:tc>
        <w:tc>
          <w:tcPr>
            <w:tcW w:w="1260" w:type="dxa"/>
            <w:tcBorders>
              <w:top w:val="single" w:sz="4" w:space="0" w:color="auto"/>
              <w:bottom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100,000</w:t>
            </w:r>
          </w:p>
        </w:tc>
      </w:tr>
      <w:tr w:rsidR="00C679D5" w:rsidRPr="00066C21" w:rsidTr="00537396">
        <w:trPr>
          <w:trHeight w:val="456"/>
        </w:trPr>
        <w:tc>
          <w:tcPr>
            <w:tcW w:w="3690" w:type="dxa"/>
            <w:tcBorders>
              <w:top w:val="single" w:sz="12" w:space="0" w:color="auto"/>
            </w:tcBorders>
            <w:shd w:val="clear" w:color="auto" w:fill="auto"/>
            <w:vAlign w:val="center"/>
          </w:tcPr>
          <w:p w:rsidR="00C679D5" w:rsidRPr="00E702D0" w:rsidRDefault="00C679D5" w:rsidP="00537396">
            <w:pPr>
              <w:rPr>
                <w:rFonts w:cs="Arial"/>
                <w:noProof/>
                <w:color w:val="000000"/>
                <w:sz w:val="22"/>
                <w:szCs w:val="22"/>
              </w:rPr>
            </w:pPr>
            <w:r w:rsidRPr="00E702D0">
              <w:rPr>
                <w:rFonts w:cs="Arial"/>
                <w:noProof/>
                <w:color w:val="000000"/>
                <w:sz w:val="22"/>
                <w:szCs w:val="22"/>
              </w:rPr>
              <w:t>PSD Major Source ? (Y/N)</w:t>
            </w:r>
          </w:p>
        </w:tc>
        <w:tc>
          <w:tcPr>
            <w:tcW w:w="810" w:type="dxa"/>
            <w:tcBorders>
              <w:top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N</w:t>
            </w:r>
          </w:p>
        </w:tc>
        <w:tc>
          <w:tcPr>
            <w:tcW w:w="810" w:type="dxa"/>
            <w:tcBorders>
              <w:top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N</w:t>
            </w:r>
          </w:p>
        </w:tc>
        <w:tc>
          <w:tcPr>
            <w:tcW w:w="827" w:type="dxa"/>
            <w:tcBorders>
              <w:top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N</w:t>
            </w:r>
          </w:p>
        </w:tc>
        <w:tc>
          <w:tcPr>
            <w:tcW w:w="703" w:type="dxa"/>
            <w:tcBorders>
              <w:top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N</w:t>
            </w:r>
          </w:p>
        </w:tc>
        <w:tc>
          <w:tcPr>
            <w:tcW w:w="720" w:type="dxa"/>
            <w:tcBorders>
              <w:top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N</w:t>
            </w:r>
          </w:p>
        </w:tc>
        <w:tc>
          <w:tcPr>
            <w:tcW w:w="810" w:type="dxa"/>
            <w:tcBorders>
              <w:top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N</w:t>
            </w:r>
          </w:p>
        </w:tc>
        <w:tc>
          <w:tcPr>
            <w:tcW w:w="1260" w:type="dxa"/>
            <w:tcBorders>
              <w:top w:val="single" w:sz="12" w:space="0" w:color="auto"/>
            </w:tcBorders>
            <w:shd w:val="clear" w:color="auto" w:fill="auto"/>
            <w:vAlign w:val="center"/>
          </w:tcPr>
          <w:p w:rsidR="00C679D5" w:rsidRPr="00E702D0" w:rsidRDefault="00C679D5" w:rsidP="00537396">
            <w:pPr>
              <w:jc w:val="center"/>
              <w:rPr>
                <w:rFonts w:cs="Arial"/>
                <w:noProof/>
                <w:color w:val="000000"/>
                <w:sz w:val="22"/>
                <w:szCs w:val="22"/>
              </w:rPr>
            </w:pPr>
            <w:r w:rsidRPr="00E702D0">
              <w:rPr>
                <w:rFonts w:cs="Arial"/>
                <w:noProof/>
                <w:color w:val="000000"/>
                <w:sz w:val="22"/>
                <w:szCs w:val="22"/>
              </w:rPr>
              <w:t>N</w:t>
            </w:r>
          </w:p>
        </w:tc>
      </w:tr>
    </w:tbl>
    <w:p w:rsidR="00C679D5" w:rsidRPr="00A70BBE" w:rsidRDefault="00C679D5" w:rsidP="00C679D5">
      <w:pPr>
        <w:suppressAutoHyphens/>
        <w:ind w:left="720"/>
        <w:jc w:val="both"/>
        <w:rPr>
          <w:rFonts w:cs="Arial"/>
          <w:noProof/>
          <w:color w:val="000000"/>
        </w:rPr>
      </w:pPr>
    </w:p>
    <w:p w:rsidR="00C679D5" w:rsidRPr="00A70BBE" w:rsidRDefault="00C679D5" w:rsidP="00C679D5">
      <w:pPr>
        <w:suppressAutoHyphens/>
        <w:ind w:left="720"/>
        <w:jc w:val="both"/>
        <w:rPr>
          <w:rFonts w:cs="Arial"/>
          <w:noProof/>
          <w:color w:val="000000"/>
        </w:rPr>
      </w:pPr>
      <w:r w:rsidRPr="00A70BBE">
        <w:rPr>
          <w:rFonts w:cs="Arial"/>
          <w:noProof/>
          <w:color w:val="000000"/>
        </w:rPr>
        <w:t xml:space="preserve">As shown above, the facility </w:t>
      </w:r>
      <w:r w:rsidRPr="00066C21">
        <w:rPr>
          <w:rFonts w:cs="Arial"/>
          <w:noProof/>
          <w:color w:val="0000FF"/>
        </w:rPr>
        <w:t>is not</w:t>
      </w:r>
      <w:r w:rsidRPr="00066C21">
        <w:rPr>
          <w:rFonts w:cs="Arial"/>
          <w:noProof/>
        </w:rPr>
        <w:t xml:space="preserve"> </w:t>
      </w:r>
      <w:r w:rsidRPr="00A70BBE">
        <w:rPr>
          <w:rFonts w:cs="Arial"/>
          <w:noProof/>
          <w:color w:val="000000"/>
        </w:rPr>
        <w:t xml:space="preserve">an existing major source for PSD for at least one pollutant.  Therefore the </w:t>
      </w:r>
      <w:r w:rsidRPr="00066C21">
        <w:rPr>
          <w:rFonts w:cs="Arial"/>
          <w:noProof/>
        </w:rPr>
        <w:t xml:space="preserve">facility </w:t>
      </w:r>
      <w:r w:rsidRPr="00066C21">
        <w:rPr>
          <w:rFonts w:cs="Arial"/>
          <w:noProof/>
          <w:color w:val="0000FF"/>
        </w:rPr>
        <w:t xml:space="preserve">is not </w:t>
      </w:r>
      <w:r w:rsidRPr="00A70BBE">
        <w:rPr>
          <w:rFonts w:cs="Arial"/>
          <w:noProof/>
          <w:color w:val="000000"/>
        </w:rPr>
        <w:t xml:space="preserve">an existing </w:t>
      </w:r>
      <w:r w:rsidRPr="00066C21">
        <w:rPr>
          <w:rFonts w:cs="Arial"/>
          <w:noProof/>
        </w:rPr>
        <w:t>major source for PSD</w:t>
      </w:r>
      <w:r w:rsidRPr="00A70BBE">
        <w:rPr>
          <w:rFonts w:cs="Arial"/>
          <w:noProof/>
          <w:color w:val="000000"/>
        </w:rPr>
        <w:t>.</w:t>
      </w:r>
    </w:p>
    <w:p w:rsidR="00C679D5" w:rsidRDefault="00C679D5" w:rsidP="00C679D5">
      <w:pPr>
        <w:suppressAutoHyphens/>
        <w:ind w:left="1440"/>
        <w:jc w:val="both"/>
        <w:rPr>
          <w:bCs/>
          <w:spacing w:val="-3"/>
        </w:rPr>
      </w:pPr>
    </w:p>
    <w:p w:rsidR="00C679D5" w:rsidRDefault="00C679D5" w:rsidP="00C679D5">
      <w:pPr>
        <w:autoSpaceDE w:val="0"/>
        <w:autoSpaceDN w:val="0"/>
        <w:adjustRightInd w:val="0"/>
        <w:ind w:left="864" w:firstLine="216"/>
        <w:rPr>
          <w:color w:val="000000"/>
        </w:rPr>
      </w:pPr>
      <w:r>
        <w:rPr>
          <w:b/>
          <w:bCs/>
          <w:color w:val="000000"/>
        </w:rPr>
        <w:t>6.  Baseline Emissions (BE)</w:t>
      </w:r>
    </w:p>
    <w:p w:rsidR="00C679D5" w:rsidRDefault="00C679D5" w:rsidP="00C679D5">
      <w:pPr>
        <w:autoSpaceDE w:val="0"/>
        <w:autoSpaceDN w:val="0"/>
        <w:adjustRightInd w:val="0"/>
        <w:ind w:left="864"/>
        <w:rPr>
          <w:color w:val="000000"/>
        </w:rPr>
      </w:pPr>
    </w:p>
    <w:p w:rsidR="00C679D5" w:rsidRDefault="00C679D5" w:rsidP="00C679D5">
      <w:pPr>
        <w:autoSpaceDE w:val="0"/>
        <w:autoSpaceDN w:val="0"/>
        <w:adjustRightInd w:val="0"/>
        <w:ind w:left="1296" w:firstLine="144"/>
        <w:rPr>
          <w:b/>
          <w:bCs/>
          <w:color w:val="000000"/>
        </w:rPr>
      </w:pPr>
      <w:r>
        <w:rPr>
          <w:b/>
          <w:bCs/>
          <w:color w:val="000000"/>
        </w:rPr>
        <w:t>Annual BE</w:t>
      </w:r>
    </w:p>
    <w:p w:rsidR="00C679D5" w:rsidRDefault="00C679D5" w:rsidP="00C679D5">
      <w:pPr>
        <w:autoSpaceDE w:val="0"/>
        <w:autoSpaceDN w:val="0"/>
        <w:adjustRightInd w:val="0"/>
        <w:ind w:left="1296"/>
        <w:rPr>
          <w:color w:val="000000"/>
        </w:rPr>
      </w:pPr>
    </w:p>
    <w:p w:rsidR="00C679D5" w:rsidRDefault="00C679D5" w:rsidP="00C679D5">
      <w:pPr>
        <w:autoSpaceDE w:val="0"/>
        <w:autoSpaceDN w:val="0"/>
        <w:adjustRightInd w:val="0"/>
        <w:ind w:left="1440"/>
        <w:jc w:val="both"/>
        <w:rPr>
          <w:color w:val="000000"/>
        </w:rPr>
      </w:pPr>
      <w:r>
        <w:rPr>
          <w:color w:val="000000"/>
        </w:rPr>
        <w:t>The annual BE is performed pollutant by pollutant to determine the amount of offsets required, where necessary, when the SSPE1 is greater than the offset threshold.  For this project the annual BE will be performed to calculate quarterly Baseline Emissions (QBE)</w:t>
      </w:r>
    </w:p>
    <w:p w:rsidR="00C679D5" w:rsidRDefault="00C679D5" w:rsidP="00C679D5">
      <w:pPr>
        <w:autoSpaceDE w:val="0"/>
        <w:autoSpaceDN w:val="0"/>
        <w:adjustRightInd w:val="0"/>
        <w:ind w:left="1296"/>
        <w:rPr>
          <w:color w:val="000000"/>
        </w:rPr>
      </w:pPr>
    </w:p>
    <w:p w:rsidR="00C679D5" w:rsidRDefault="00C679D5" w:rsidP="00C679D5">
      <w:pPr>
        <w:pStyle w:val="BodyTextIndent2"/>
        <w:ind w:left="1296" w:firstLine="144"/>
        <w:rPr>
          <w:color w:val="000000"/>
          <w:szCs w:val="18"/>
        </w:rPr>
      </w:pPr>
      <w:r>
        <w:rPr>
          <w:color w:val="000000"/>
          <w:szCs w:val="18"/>
        </w:rPr>
        <w:t>BE = Pre-project Potential to Emit for:</w:t>
      </w:r>
    </w:p>
    <w:p w:rsidR="00C679D5" w:rsidRDefault="00C679D5" w:rsidP="00C679D5">
      <w:pPr>
        <w:pStyle w:val="BodyTextIndent2"/>
        <w:numPr>
          <w:ilvl w:val="0"/>
          <w:numId w:val="25"/>
        </w:numPr>
        <w:tabs>
          <w:tab w:val="num" w:pos="1800"/>
        </w:tabs>
        <w:rPr>
          <w:color w:val="000000"/>
          <w:szCs w:val="18"/>
        </w:rPr>
      </w:pPr>
      <w:r>
        <w:rPr>
          <w:color w:val="000000"/>
          <w:szCs w:val="18"/>
        </w:rPr>
        <w:t>Any unit located at a non-Major Source,</w:t>
      </w:r>
    </w:p>
    <w:p w:rsidR="00C679D5" w:rsidRDefault="00C679D5" w:rsidP="00C679D5">
      <w:pPr>
        <w:pStyle w:val="BodyTextIndent2"/>
        <w:numPr>
          <w:ilvl w:val="0"/>
          <w:numId w:val="25"/>
        </w:numPr>
        <w:tabs>
          <w:tab w:val="num" w:pos="1800"/>
        </w:tabs>
        <w:rPr>
          <w:color w:val="000000"/>
          <w:szCs w:val="18"/>
        </w:rPr>
      </w:pPr>
      <w:r>
        <w:rPr>
          <w:color w:val="000000"/>
          <w:szCs w:val="18"/>
        </w:rPr>
        <w:t>Any Highly-Utilized Emissions Unit, located at a Major Source,</w:t>
      </w:r>
    </w:p>
    <w:p w:rsidR="00C679D5" w:rsidRDefault="00C679D5" w:rsidP="00C679D5">
      <w:pPr>
        <w:pStyle w:val="BodyTextIndent2"/>
        <w:numPr>
          <w:ilvl w:val="0"/>
          <w:numId w:val="25"/>
        </w:numPr>
        <w:tabs>
          <w:tab w:val="num" w:pos="1800"/>
        </w:tabs>
        <w:rPr>
          <w:color w:val="000000"/>
          <w:szCs w:val="18"/>
        </w:rPr>
      </w:pPr>
      <w:r>
        <w:rPr>
          <w:color w:val="000000"/>
          <w:szCs w:val="18"/>
        </w:rPr>
        <w:t>Any Fully-Offset Emissions Unit, located at a Major Source, or</w:t>
      </w:r>
    </w:p>
    <w:p w:rsidR="00C679D5" w:rsidRDefault="00C679D5" w:rsidP="00C679D5">
      <w:pPr>
        <w:pStyle w:val="BodyTextIndent2"/>
        <w:numPr>
          <w:ilvl w:val="0"/>
          <w:numId w:val="25"/>
        </w:numPr>
        <w:tabs>
          <w:tab w:val="num" w:pos="1800"/>
        </w:tabs>
        <w:rPr>
          <w:color w:val="000000"/>
          <w:szCs w:val="18"/>
        </w:rPr>
      </w:pPr>
      <w:r>
        <w:rPr>
          <w:color w:val="000000"/>
          <w:szCs w:val="18"/>
        </w:rPr>
        <w:t>Any Clean Emissions Unit, Located at a Major Source.</w:t>
      </w:r>
    </w:p>
    <w:p w:rsidR="00C679D5" w:rsidRDefault="00C679D5" w:rsidP="00C679D5">
      <w:pPr>
        <w:pStyle w:val="BodyTextIndent2"/>
        <w:ind w:left="1296"/>
        <w:rPr>
          <w:color w:val="000000"/>
          <w:szCs w:val="18"/>
        </w:rPr>
      </w:pPr>
    </w:p>
    <w:p w:rsidR="00C679D5" w:rsidRDefault="00C679D5" w:rsidP="00C679D5">
      <w:pPr>
        <w:pStyle w:val="BodyTextIndent2"/>
        <w:ind w:left="1296" w:firstLine="144"/>
        <w:rPr>
          <w:color w:val="000000"/>
          <w:szCs w:val="18"/>
        </w:rPr>
      </w:pPr>
      <w:r>
        <w:rPr>
          <w:color w:val="000000"/>
          <w:szCs w:val="18"/>
        </w:rPr>
        <w:t xml:space="preserve"> otherwise,</w:t>
      </w:r>
    </w:p>
    <w:p w:rsidR="00C679D5" w:rsidRDefault="00C679D5" w:rsidP="00C679D5">
      <w:pPr>
        <w:pStyle w:val="BodyTextIndent2"/>
        <w:ind w:left="1296"/>
        <w:rPr>
          <w:color w:val="000000"/>
          <w:szCs w:val="18"/>
        </w:rPr>
      </w:pPr>
    </w:p>
    <w:p w:rsidR="00C679D5" w:rsidRDefault="00C679D5" w:rsidP="00C679D5">
      <w:pPr>
        <w:autoSpaceDE w:val="0"/>
        <w:autoSpaceDN w:val="0"/>
        <w:adjustRightInd w:val="0"/>
        <w:ind w:left="1728"/>
        <w:rPr>
          <w:color w:val="000000"/>
        </w:rPr>
      </w:pPr>
      <w:r>
        <w:rPr>
          <w:color w:val="000000"/>
          <w:szCs w:val="18"/>
        </w:rPr>
        <w:t>BE = Historic Actual Emissions (HAE), calculated pursuant to Section 3.23</w:t>
      </w:r>
    </w:p>
    <w:p w:rsidR="00C679D5" w:rsidRDefault="00C679D5" w:rsidP="00C679D5">
      <w:pPr>
        <w:autoSpaceDE w:val="0"/>
        <w:autoSpaceDN w:val="0"/>
        <w:adjustRightInd w:val="0"/>
        <w:ind w:left="864"/>
        <w:rPr>
          <w:color w:val="000000"/>
        </w:rPr>
      </w:pPr>
    </w:p>
    <w:p w:rsidR="00C679D5" w:rsidRDefault="00C679D5" w:rsidP="00C679D5">
      <w:pPr>
        <w:autoSpaceDE w:val="0"/>
        <w:autoSpaceDN w:val="0"/>
        <w:adjustRightInd w:val="0"/>
        <w:ind w:left="1440"/>
        <w:jc w:val="both"/>
        <w:rPr>
          <w:color w:val="0000FF"/>
        </w:rPr>
      </w:pPr>
      <w:r>
        <w:rPr>
          <w:color w:val="0000FF"/>
        </w:rPr>
        <w:t>Since this is a new facility, the annual BE is equal to zero.</w:t>
      </w:r>
    </w:p>
    <w:p w:rsidR="00C679D5" w:rsidRDefault="00C679D5" w:rsidP="00C679D5">
      <w:pPr>
        <w:autoSpaceDE w:val="0"/>
        <w:autoSpaceDN w:val="0"/>
        <w:adjustRightInd w:val="0"/>
        <w:ind w:left="1440"/>
        <w:rPr>
          <w:color w:val="0000FF"/>
        </w:rPr>
      </w:pPr>
    </w:p>
    <w:p w:rsidR="00C679D5" w:rsidRDefault="00C679D5" w:rsidP="00C679D5">
      <w:pPr>
        <w:autoSpaceDE w:val="0"/>
        <w:autoSpaceDN w:val="0"/>
        <w:adjustRightInd w:val="0"/>
        <w:ind w:left="864"/>
        <w:rPr>
          <w:color w:val="FF0000"/>
        </w:rPr>
      </w:pPr>
      <w:r>
        <w:rPr>
          <w:color w:val="FF0000"/>
        </w:rPr>
        <w:lastRenderedPageBreak/>
        <w:t>OR</w:t>
      </w:r>
    </w:p>
    <w:p w:rsidR="00C679D5" w:rsidRDefault="00C679D5" w:rsidP="00C679D5">
      <w:pPr>
        <w:autoSpaceDE w:val="0"/>
        <w:autoSpaceDN w:val="0"/>
        <w:adjustRightInd w:val="0"/>
        <w:ind w:left="864"/>
        <w:rPr>
          <w:color w:val="0000FF"/>
        </w:rPr>
      </w:pPr>
    </w:p>
    <w:p w:rsidR="00C679D5" w:rsidRDefault="00C679D5" w:rsidP="00C679D5">
      <w:pPr>
        <w:autoSpaceDE w:val="0"/>
        <w:autoSpaceDN w:val="0"/>
        <w:adjustRightInd w:val="0"/>
        <w:ind w:left="1440"/>
        <w:jc w:val="both"/>
        <w:rPr>
          <w:color w:val="0000FF"/>
        </w:rPr>
      </w:pPr>
      <w:r>
        <w:rPr>
          <w:rFonts w:cs="Arial"/>
          <w:color w:val="0000FF"/>
        </w:rPr>
        <w:t>Since this unit is not located at a major source, BE = Pre-project Potential to Emit.</w:t>
      </w:r>
    </w:p>
    <w:p w:rsidR="00C679D5" w:rsidRDefault="00C679D5" w:rsidP="00C679D5">
      <w:pPr>
        <w:autoSpaceDE w:val="0"/>
        <w:autoSpaceDN w:val="0"/>
        <w:adjustRightInd w:val="0"/>
        <w:ind w:left="864"/>
        <w:rPr>
          <w:color w:val="000000"/>
        </w:rPr>
      </w:pPr>
    </w:p>
    <w:tbl>
      <w:tblPr>
        <w:tblW w:w="0" w:type="auto"/>
        <w:tblInd w:w="14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90"/>
        <w:gridCol w:w="1116"/>
        <w:gridCol w:w="1116"/>
        <w:gridCol w:w="1116"/>
        <w:gridCol w:w="1116"/>
        <w:gridCol w:w="1116"/>
      </w:tblGrid>
      <w:tr w:rsidR="00C679D5" w:rsidTr="006B0360">
        <w:trPr>
          <w:cantSplit/>
          <w:trHeight w:val="100"/>
        </w:trPr>
        <w:tc>
          <w:tcPr>
            <w:tcW w:w="7470" w:type="dxa"/>
            <w:gridSpan w:val="6"/>
            <w:tcBorders>
              <w:top w:val="double" w:sz="4" w:space="0" w:color="auto"/>
              <w:left w:val="double" w:sz="4" w:space="0" w:color="auto"/>
              <w:bottom w:val="nil"/>
              <w:right w:val="double" w:sz="4" w:space="0" w:color="auto"/>
            </w:tcBorders>
            <w:shd w:val="clear" w:color="auto" w:fill="auto"/>
          </w:tcPr>
          <w:p w:rsidR="00C679D5" w:rsidRPr="007009EE" w:rsidRDefault="00C679D5" w:rsidP="00537396">
            <w:pPr>
              <w:spacing w:before="40" w:after="40"/>
              <w:jc w:val="center"/>
              <w:rPr>
                <w:rFonts w:cs="Arial"/>
                <w:b/>
                <w:snapToGrid w:val="0"/>
                <w:color w:val="000000"/>
                <w:sz w:val="22"/>
                <w:szCs w:val="22"/>
              </w:rPr>
            </w:pPr>
            <w:r w:rsidRPr="007009EE">
              <w:rPr>
                <w:rFonts w:cs="Arial"/>
                <w:b/>
                <w:bCs/>
                <w:color w:val="000000"/>
                <w:spacing w:val="-3"/>
                <w:sz w:val="22"/>
                <w:szCs w:val="22"/>
              </w:rPr>
              <w:t xml:space="preserve">Annual BE </w:t>
            </w:r>
            <w:r w:rsidRPr="008B2F73">
              <w:rPr>
                <w:rFonts w:cs="Arial"/>
                <w:b/>
                <w:bCs/>
                <w:color w:val="000000"/>
                <w:spacing w:val="-3"/>
                <w:sz w:val="22"/>
                <w:szCs w:val="22"/>
              </w:rPr>
              <w:t>lbs</w:t>
            </w:r>
            <w:r w:rsidRPr="007009EE">
              <w:rPr>
                <w:rFonts w:cs="Arial"/>
                <w:b/>
                <w:bCs/>
                <w:color w:val="000000"/>
                <w:spacing w:val="-3"/>
                <w:sz w:val="22"/>
                <w:szCs w:val="22"/>
              </w:rPr>
              <w:t xml:space="preserve">/yr </w:t>
            </w:r>
          </w:p>
        </w:tc>
      </w:tr>
      <w:tr w:rsidR="00C679D5" w:rsidTr="00737653">
        <w:trPr>
          <w:cantSplit/>
          <w:trHeight w:val="160"/>
        </w:trPr>
        <w:tc>
          <w:tcPr>
            <w:tcW w:w="1890" w:type="dxa"/>
            <w:tcBorders>
              <w:top w:val="double" w:sz="4" w:space="0" w:color="auto"/>
              <w:left w:val="double" w:sz="4" w:space="0" w:color="auto"/>
              <w:bottom w:val="double" w:sz="4" w:space="0" w:color="auto"/>
            </w:tcBorders>
            <w:shd w:val="clear" w:color="auto" w:fill="auto"/>
          </w:tcPr>
          <w:p w:rsidR="00C679D5" w:rsidRPr="007009EE" w:rsidRDefault="00C679D5" w:rsidP="00537396">
            <w:pPr>
              <w:jc w:val="center"/>
              <w:rPr>
                <w:b/>
                <w:bCs/>
                <w:sz w:val="22"/>
                <w:szCs w:val="22"/>
              </w:rPr>
            </w:pPr>
            <w:r w:rsidRPr="007009EE">
              <w:rPr>
                <w:b/>
                <w:bCs/>
                <w:sz w:val="22"/>
                <w:szCs w:val="22"/>
              </w:rPr>
              <w:t>Permit Number</w:t>
            </w:r>
          </w:p>
        </w:tc>
        <w:tc>
          <w:tcPr>
            <w:tcW w:w="1116" w:type="dxa"/>
            <w:tcBorders>
              <w:top w:val="double" w:sz="4" w:space="0" w:color="auto"/>
              <w:bottom w:val="double" w:sz="4" w:space="0" w:color="auto"/>
            </w:tcBorders>
            <w:shd w:val="clear" w:color="auto" w:fill="auto"/>
          </w:tcPr>
          <w:p w:rsidR="00C679D5" w:rsidRPr="007009EE" w:rsidRDefault="00C679D5" w:rsidP="00537396">
            <w:pPr>
              <w:jc w:val="center"/>
              <w:rPr>
                <w:b/>
                <w:bCs/>
                <w:sz w:val="22"/>
                <w:szCs w:val="22"/>
              </w:rPr>
            </w:pPr>
            <w:r w:rsidRPr="007009EE">
              <w:rPr>
                <w:b/>
                <w:bCs/>
                <w:sz w:val="22"/>
                <w:szCs w:val="22"/>
              </w:rPr>
              <w:t>NO</w:t>
            </w:r>
            <w:r w:rsidRPr="007009EE">
              <w:rPr>
                <w:b/>
                <w:bCs/>
                <w:sz w:val="22"/>
                <w:szCs w:val="22"/>
                <w:vertAlign w:val="subscript"/>
              </w:rPr>
              <w:t>x</w:t>
            </w:r>
          </w:p>
        </w:tc>
        <w:tc>
          <w:tcPr>
            <w:tcW w:w="1116" w:type="dxa"/>
            <w:tcBorders>
              <w:top w:val="double" w:sz="4" w:space="0" w:color="auto"/>
              <w:bottom w:val="double" w:sz="4" w:space="0" w:color="auto"/>
              <w:right w:val="single" w:sz="6" w:space="0" w:color="auto"/>
            </w:tcBorders>
            <w:shd w:val="clear" w:color="auto" w:fill="auto"/>
          </w:tcPr>
          <w:p w:rsidR="00C679D5" w:rsidRPr="007009EE" w:rsidRDefault="00C679D5" w:rsidP="00537396">
            <w:pPr>
              <w:jc w:val="center"/>
              <w:rPr>
                <w:b/>
                <w:bCs/>
                <w:sz w:val="22"/>
                <w:szCs w:val="22"/>
                <w:vertAlign w:val="subscript"/>
              </w:rPr>
            </w:pPr>
            <w:r w:rsidRPr="007009EE">
              <w:rPr>
                <w:b/>
                <w:bCs/>
                <w:sz w:val="22"/>
                <w:szCs w:val="22"/>
              </w:rPr>
              <w:t>SO</w:t>
            </w:r>
            <w:r w:rsidRPr="007009EE">
              <w:rPr>
                <w:b/>
                <w:bCs/>
                <w:sz w:val="22"/>
                <w:szCs w:val="22"/>
                <w:vertAlign w:val="subscript"/>
              </w:rPr>
              <w:t>x</w:t>
            </w:r>
          </w:p>
        </w:tc>
        <w:tc>
          <w:tcPr>
            <w:tcW w:w="1116" w:type="dxa"/>
            <w:tcBorders>
              <w:top w:val="double" w:sz="4" w:space="0" w:color="auto"/>
              <w:left w:val="single" w:sz="6" w:space="0" w:color="auto"/>
              <w:bottom w:val="double" w:sz="4" w:space="0" w:color="auto"/>
              <w:right w:val="single" w:sz="6" w:space="0" w:color="auto"/>
            </w:tcBorders>
            <w:shd w:val="clear" w:color="auto" w:fill="auto"/>
          </w:tcPr>
          <w:p w:rsidR="00C679D5" w:rsidRPr="007009EE" w:rsidRDefault="00C679D5" w:rsidP="00537396">
            <w:pPr>
              <w:jc w:val="center"/>
              <w:rPr>
                <w:b/>
                <w:bCs/>
                <w:sz w:val="22"/>
                <w:szCs w:val="22"/>
              </w:rPr>
            </w:pPr>
            <w:r w:rsidRPr="007009EE">
              <w:rPr>
                <w:b/>
                <w:bCs/>
                <w:sz w:val="22"/>
                <w:szCs w:val="22"/>
              </w:rPr>
              <w:t>PM</w:t>
            </w:r>
            <w:r w:rsidRPr="007009EE">
              <w:rPr>
                <w:b/>
                <w:bCs/>
                <w:sz w:val="22"/>
                <w:szCs w:val="22"/>
                <w:vertAlign w:val="subscript"/>
              </w:rPr>
              <w:t>10</w:t>
            </w:r>
          </w:p>
        </w:tc>
        <w:tc>
          <w:tcPr>
            <w:tcW w:w="1116" w:type="dxa"/>
            <w:tcBorders>
              <w:top w:val="double" w:sz="4" w:space="0" w:color="auto"/>
              <w:left w:val="single" w:sz="6" w:space="0" w:color="auto"/>
              <w:bottom w:val="double" w:sz="4" w:space="0" w:color="auto"/>
              <w:right w:val="single" w:sz="6" w:space="0" w:color="auto"/>
            </w:tcBorders>
            <w:shd w:val="clear" w:color="auto" w:fill="auto"/>
          </w:tcPr>
          <w:p w:rsidR="00C679D5" w:rsidRPr="007009EE" w:rsidRDefault="00C679D5" w:rsidP="00537396">
            <w:pPr>
              <w:jc w:val="center"/>
              <w:rPr>
                <w:b/>
                <w:bCs/>
                <w:sz w:val="22"/>
                <w:szCs w:val="22"/>
              </w:rPr>
            </w:pPr>
            <w:r w:rsidRPr="007009EE">
              <w:rPr>
                <w:b/>
                <w:bCs/>
                <w:sz w:val="22"/>
                <w:szCs w:val="22"/>
              </w:rPr>
              <w:t>CO</w:t>
            </w:r>
          </w:p>
        </w:tc>
        <w:tc>
          <w:tcPr>
            <w:tcW w:w="1116" w:type="dxa"/>
            <w:tcBorders>
              <w:top w:val="double" w:sz="4" w:space="0" w:color="auto"/>
              <w:left w:val="single" w:sz="6" w:space="0" w:color="auto"/>
              <w:bottom w:val="double" w:sz="4" w:space="0" w:color="auto"/>
              <w:right w:val="double" w:sz="4" w:space="0" w:color="auto"/>
            </w:tcBorders>
            <w:shd w:val="clear" w:color="auto" w:fill="auto"/>
          </w:tcPr>
          <w:p w:rsidR="00C679D5" w:rsidRPr="007009EE" w:rsidRDefault="00C679D5" w:rsidP="00537396">
            <w:pPr>
              <w:jc w:val="center"/>
              <w:rPr>
                <w:b/>
                <w:bCs/>
                <w:sz w:val="22"/>
                <w:szCs w:val="22"/>
              </w:rPr>
            </w:pPr>
            <w:r w:rsidRPr="007009EE">
              <w:rPr>
                <w:b/>
                <w:bCs/>
                <w:sz w:val="22"/>
                <w:szCs w:val="22"/>
              </w:rPr>
              <w:t>VOC</w:t>
            </w:r>
          </w:p>
        </w:tc>
      </w:tr>
      <w:tr w:rsidR="00C679D5" w:rsidTr="00537396">
        <w:trPr>
          <w:cantSplit/>
          <w:trHeight w:val="247"/>
        </w:trPr>
        <w:tc>
          <w:tcPr>
            <w:tcW w:w="1890" w:type="dxa"/>
            <w:tcBorders>
              <w:top w:val="nil"/>
              <w:left w:val="double" w:sz="4" w:space="0" w:color="auto"/>
              <w:bottom w:val="double" w:sz="4" w:space="0" w:color="auto"/>
            </w:tcBorders>
          </w:tcPr>
          <w:p w:rsidR="00C679D5" w:rsidRPr="007009EE" w:rsidRDefault="00C679D5" w:rsidP="00537396">
            <w:pPr>
              <w:jc w:val="center"/>
              <w:rPr>
                <w:color w:val="0000FF"/>
                <w:sz w:val="22"/>
                <w:szCs w:val="22"/>
              </w:rPr>
            </w:pPr>
            <w:r w:rsidRPr="007009EE">
              <w:rPr>
                <w:color w:val="0000FF"/>
                <w:sz w:val="22"/>
                <w:szCs w:val="22"/>
              </w:rPr>
              <w:t>C-xxxx-xx</w:t>
            </w:r>
          </w:p>
        </w:tc>
        <w:tc>
          <w:tcPr>
            <w:tcW w:w="1116" w:type="dxa"/>
            <w:tcBorders>
              <w:top w:val="nil"/>
              <w:bottom w:val="double" w:sz="4" w:space="0" w:color="auto"/>
            </w:tcBorders>
          </w:tcPr>
          <w:p w:rsidR="00C679D5" w:rsidRPr="007009EE" w:rsidRDefault="00C679D5" w:rsidP="00537396">
            <w:pPr>
              <w:jc w:val="center"/>
              <w:rPr>
                <w:color w:val="0000FF"/>
                <w:sz w:val="22"/>
                <w:szCs w:val="22"/>
              </w:rPr>
            </w:pPr>
            <w:r w:rsidRPr="007009EE">
              <w:rPr>
                <w:color w:val="0000FF"/>
                <w:sz w:val="22"/>
                <w:szCs w:val="22"/>
              </w:rPr>
              <w:t>[  ]</w:t>
            </w:r>
          </w:p>
        </w:tc>
        <w:tc>
          <w:tcPr>
            <w:tcW w:w="1116" w:type="dxa"/>
            <w:tcBorders>
              <w:top w:val="nil"/>
              <w:bottom w:val="double" w:sz="4" w:space="0" w:color="auto"/>
              <w:right w:val="single" w:sz="6" w:space="0" w:color="auto"/>
            </w:tcBorders>
          </w:tcPr>
          <w:p w:rsidR="00C679D5" w:rsidRPr="007009EE" w:rsidRDefault="00C679D5" w:rsidP="00537396">
            <w:pPr>
              <w:jc w:val="center"/>
              <w:rPr>
                <w:color w:val="0000FF"/>
                <w:sz w:val="22"/>
                <w:szCs w:val="22"/>
              </w:rPr>
            </w:pPr>
            <w:r w:rsidRPr="007009EE">
              <w:rPr>
                <w:color w:val="0000FF"/>
                <w:sz w:val="22"/>
                <w:szCs w:val="22"/>
              </w:rPr>
              <w:t>[  ]</w:t>
            </w:r>
          </w:p>
        </w:tc>
        <w:tc>
          <w:tcPr>
            <w:tcW w:w="1116" w:type="dxa"/>
            <w:tcBorders>
              <w:top w:val="nil"/>
              <w:left w:val="single" w:sz="6" w:space="0" w:color="auto"/>
              <w:bottom w:val="double" w:sz="4" w:space="0" w:color="auto"/>
              <w:right w:val="single" w:sz="6" w:space="0" w:color="auto"/>
            </w:tcBorders>
          </w:tcPr>
          <w:p w:rsidR="00C679D5" w:rsidRPr="007009EE" w:rsidRDefault="00C679D5" w:rsidP="00537396">
            <w:pPr>
              <w:jc w:val="center"/>
              <w:rPr>
                <w:color w:val="0000FF"/>
                <w:sz w:val="22"/>
                <w:szCs w:val="22"/>
              </w:rPr>
            </w:pPr>
            <w:r w:rsidRPr="007009EE">
              <w:rPr>
                <w:color w:val="0000FF"/>
                <w:sz w:val="22"/>
                <w:szCs w:val="22"/>
              </w:rPr>
              <w:t>[  ]</w:t>
            </w:r>
          </w:p>
        </w:tc>
        <w:tc>
          <w:tcPr>
            <w:tcW w:w="1116" w:type="dxa"/>
            <w:tcBorders>
              <w:top w:val="nil"/>
              <w:left w:val="single" w:sz="6" w:space="0" w:color="auto"/>
              <w:bottom w:val="double" w:sz="4" w:space="0" w:color="auto"/>
              <w:right w:val="single" w:sz="6" w:space="0" w:color="auto"/>
            </w:tcBorders>
          </w:tcPr>
          <w:p w:rsidR="00C679D5" w:rsidRPr="007009EE" w:rsidRDefault="00C679D5" w:rsidP="00537396">
            <w:pPr>
              <w:jc w:val="center"/>
              <w:rPr>
                <w:color w:val="0000FF"/>
                <w:sz w:val="22"/>
                <w:szCs w:val="22"/>
              </w:rPr>
            </w:pPr>
            <w:r w:rsidRPr="007009EE">
              <w:rPr>
                <w:color w:val="0000FF"/>
                <w:sz w:val="22"/>
                <w:szCs w:val="22"/>
              </w:rPr>
              <w:t>[  ]</w:t>
            </w:r>
          </w:p>
        </w:tc>
        <w:tc>
          <w:tcPr>
            <w:tcW w:w="1116" w:type="dxa"/>
            <w:tcBorders>
              <w:top w:val="nil"/>
              <w:left w:val="single" w:sz="6" w:space="0" w:color="auto"/>
              <w:bottom w:val="double" w:sz="4" w:space="0" w:color="auto"/>
              <w:right w:val="double" w:sz="4" w:space="0" w:color="auto"/>
            </w:tcBorders>
          </w:tcPr>
          <w:p w:rsidR="00C679D5" w:rsidRPr="007009EE" w:rsidRDefault="00C679D5" w:rsidP="00537396">
            <w:pPr>
              <w:jc w:val="center"/>
              <w:rPr>
                <w:color w:val="0000FF"/>
                <w:sz w:val="22"/>
                <w:szCs w:val="22"/>
              </w:rPr>
            </w:pPr>
            <w:r w:rsidRPr="007009EE">
              <w:rPr>
                <w:color w:val="0000FF"/>
                <w:sz w:val="22"/>
                <w:szCs w:val="22"/>
              </w:rPr>
              <w:t>[  ]</w:t>
            </w:r>
          </w:p>
        </w:tc>
      </w:tr>
    </w:tbl>
    <w:p w:rsidR="00FD6FB5" w:rsidRDefault="00FD6FB5">
      <w:pPr>
        <w:suppressAutoHyphens/>
        <w:ind w:left="1440"/>
        <w:jc w:val="both"/>
        <w:rPr>
          <w:bCs/>
          <w:spacing w:val="-3"/>
        </w:rPr>
      </w:pPr>
    </w:p>
    <w:p w:rsidR="00FD6FB5" w:rsidRDefault="00FD6FB5">
      <w:pPr>
        <w:autoSpaceDE w:val="0"/>
        <w:autoSpaceDN w:val="0"/>
        <w:adjustRightInd w:val="0"/>
        <w:ind w:left="864" w:firstLine="216"/>
        <w:rPr>
          <w:color w:val="000000"/>
        </w:rPr>
      </w:pPr>
      <w:r>
        <w:rPr>
          <w:b/>
          <w:bCs/>
          <w:color w:val="000000"/>
        </w:rPr>
        <w:t>6.  Baseline Emissions (BE)</w:t>
      </w:r>
    </w:p>
    <w:p w:rsidR="00FD6FB5" w:rsidRDefault="00FD6FB5">
      <w:pPr>
        <w:autoSpaceDE w:val="0"/>
        <w:autoSpaceDN w:val="0"/>
        <w:adjustRightInd w:val="0"/>
        <w:ind w:left="864"/>
        <w:rPr>
          <w:color w:val="000000"/>
        </w:rPr>
      </w:pPr>
    </w:p>
    <w:p w:rsidR="00FD6FB5" w:rsidRDefault="00FD6FB5">
      <w:pPr>
        <w:autoSpaceDE w:val="0"/>
        <w:autoSpaceDN w:val="0"/>
        <w:adjustRightInd w:val="0"/>
        <w:ind w:left="1296" w:firstLine="144"/>
        <w:rPr>
          <w:b/>
          <w:bCs/>
          <w:color w:val="000000"/>
        </w:rPr>
      </w:pPr>
      <w:r>
        <w:rPr>
          <w:b/>
          <w:bCs/>
          <w:color w:val="000000"/>
        </w:rPr>
        <w:t>Annual BE</w:t>
      </w:r>
    </w:p>
    <w:p w:rsidR="00FD6FB5" w:rsidRDefault="00FD6FB5">
      <w:pPr>
        <w:autoSpaceDE w:val="0"/>
        <w:autoSpaceDN w:val="0"/>
        <w:adjustRightInd w:val="0"/>
        <w:ind w:left="1296"/>
        <w:rPr>
          <w:color w:val="000000"/>
        </w:rPr>
      </w:pPr>
    </w:p>
    <w:p w:rsidR="00FD6FB5" w:rsidRDefault="00FD6FB5">
      <w:pPr>
        <w:autoSpaceDE w:val="0"/>
        <w:autoSpaceDN w:val="0"/>
        <w:adjustRightInd w:val="0"/>
        <w:ind w:left="1440"/>
        <w:jc w:val="both"/>
        <w:rPr>
          <w:color w:val="000000"/>
        </w:rPr>
      </w:pPr>
      <w:r>
        <w:rPr>
          <w:color w:val="000000"/>
        </w:rPr>
        <w:t>The annual BE is performed pollutant by pollutant to determine the amount of offsets required, where necessary, when the SSPE1 is greater than the offset threshold.  For this project the annual BE will be performed to calculate quarterly Baseline Emissions (QBE)</w:t>
      </w:r>
    </w:p>
    <w:p w:rsidR="00FD6FB5" w:rsidRDefault="00FD6FB5">
      <w:pPr>
        <w:autoSpaceDE w:val="0"/>
        <w:autoSpaceDN w:val="0"/>
        <w:adjustRightInd w:val="0"/>
        <w:ind w:left="1296"/>
        <w:rPr>
          <w:color w:val="000000"/>
        </w:rPr>
      </w:pPr>
    </w:p>
    <w:p w:rsidR="00FD6FB5" w:rsidRDefault="00FD6FB5">
      <w:pPr>
        <w:pStyle w:val="BodyTextIndent2"/>
        <w:ind w:left="1296" w:firstLine="144"/>
        <w:rPr>
          <w:color w:val="000000"/>
          <w:szCs w:val="18"/>
        </w:rPr>
      </w:pPr>
      <w:r>
        <w:rPr>
          <w:color w:val="000000"/>
          <w:szCs w:val="18"/>
        </w:rPr>
        <w:t>BE = Pre-project Potential to Emit for:</w:t>
      </w:r>
    </w:p>
    <w:p w:rsidR="00FD6FB5" w:rsidRDefault="00FD6FB5">
      <w:pPr>
        <w:pStyle w:val="BodyTextIndent2"/>
        <w:numPr>
          <w:ilvl w:val="0"/>
          <w:numId w:val="25"/>
        </w:numPr>
        <w:tabs>
          <w:tab w:val="num" w:pos="1800"/>
        </w:tabs>
        <w:rPr>
          <w:color w:val="000000"/>
          <w:szCs w:val="18"/>
        </w:rPr>
      </w:pPr>
      <w:r>
        <w:rPr>
          <w:color w:val="000000"/>
          <w:szCs w:val="18"/>
        </w:rPr>
        <w:t>Any unit located at a non-Major Source,</w:t>
      </w:r>
    </w:p>
    <w:p w:rsidR="00FD6FB5" w:rsidRDefault="00FD6FB5">
      <w:pPr>
        <w:pStyle w:val="BodyTextIndent2"/>
        <w:numPr>
          <w:ilvl w:val="0"/>
          <w:numId w:val="25"/>
        </w:numPr>
        <w:tabs>
          <w:tab w:val="num" w:pos="1800"/>
        </w:tabs>
        <w:rPr>
          <w:color w:val="000000"/>
          <w:szCs w:val="18"/>
        </w:rPr>
      </w:pPr>
      <w:r>
        <w:rPr>
          <w:color w:val="000000"/>
          <w:szCs w:val="18"/>
        </w:rPr>
        <w:t>Any Highly-Utilized Emissions Unit, located at a Major Source,</w:t>
      </w:r>
    </w:p>
    <w:p w:rsidR="00FD6FB5" w:rsidRDefault="00FD6FB5">
      <w:pPr>
        <w:pStyle w:val="BodyTextIndent2"/>
        <w:numPr>
          <w:ilvl w:val="0"/>
          <w:numId w:val="25"/>
        </w:numPr>
        <w:tabs>
          <w:tab w:val="num" w:pos="1800"/>
        </w:tabs>
        <w:rPr>
          <w:color w:val="000000"/>
          <w:szCs w:val="18"/>
        </w:rPr>
      </w:pPr>
      <w:r>
        <w:rPr>
          <w:color w:val="000000"/>
          <w:szCs w:val="18"/>
        </w:rPr>
        <w:t>Any Fully-Offset Emissions Unit, located at a Major Source, or</w:t>
      </w:r>
    </w:p>
    <w:p w:rsidR="00FD6FB5" w:rsidRDefault="00FD6FB5">
      <w:pPr>
        <w:pStyle w:val="BodyTextIndent2"/>
        <w:numPr>
          <w:ilvl w:val="0"/>
          <w:numId w:val="25"/>
        </w:numPr>
        <w:tabs>
          <w:tab w:val="num" w:pos="1800"/>
        </w:tabs>
        <w:rPr>
          <w:color w:val="000000"/>
          <w:szCs w:val="18"/>
        </w:rPr>
      </w:pPr>
      <w:r>
        <w:rPr>
          <w:color w:val="000000"/>
          <w:szCs w:val="18"/>
        </w:rPr>
        <w:t>Any Clean Emissions Unit, Located at a Major Source.</w:t>
      </w:r>
    </w:p>
    <w:p w:rsidR="00FD6FB5" w:rsidRDefault="00FD6FB5">
      <w:pPr>
        <w:pStyle w:val="BodyTextIndent2"/>
        <w:ind w:left="1296"/>
        <w:rPr>
          <w:color w:val="000000"/>
          <w:szCs w:val="18"/>
        </w:rPr>
      </w:pPr>
    </w:p>
    <w:p w:rsidR="00FD6FB5" w:rsidRDefault="00FD6FB5">
      <w:pPr>
        <w:pStyle w:val="BodyTextIndent2"/>
        <w:ind w:left="1296" w:firstLine="144"/>
        <w:rPr>
          <w:color w:val="000000"/>
          <w:szCs w:val="18"/>
        </w:rPr>
      </w:pPr>
      <w:r>
        <w:rPr>
          <w:color w:val="000000"/>
          <w:szCs w:val="18"/>
        </w:rPr>
        <w:t xml:space="preserve"> otherwise,</w:t>
      </w:r>
    </w:p>
    <w:p w:rsidR="00FD6FB5" w:rsidRDefault="00FD6FB5">
      <w:pPr>
        <w:pStyle w:val="BodyTextIndent2"/>
        <w:ind w:left="1296"/>
        <w:rPr>
          <w:color w:val="000000"/>
          <w:szCs w:val="18"/>
        </w:rPr>
      </w:pPr>
    </w:p>
    <w:p w:rsidR="00FD6FB5" w:rsidRDefault="00FD6FB5">
      <w:pPr>
        <w:autoSpaceDE w:val="0"/>
        <w:autoSpaceDN w:val="0"/>
        <w:adjustRightInd w:val="0"/>
        <w:ind w:left="1728"/>
        <w:rPr>
          <w:color w:val="000000"/>
        </w:rPr>
      </w:pPr>
      <w:r>
        <w:rPr>
          <w:color w:val="000000"/>
          <w:szCs w:val="18"/>
        </w:rPr>
        <w:t>BE = Historic Actual Emissions (HAE), calculated pursuant to Section 3.23</w:t>
      </w:r>
    </w:p>
    <w:p w:rsidR="00FD6FB5" w:rsidRDefault="00FD6FB5">
      <w:pPr>
        <w:autoSpaceDE w:val="0"/>
        <w:autoSpaceDN w:val="0"/>
        <w:adjustRightInd w:val="0"/>
        <w:ind w:left="864"/>
        <w:rPr>
          <w:color w:val="000000"/>
        </w:rPr>
      </w:pPr>
    </w:p>
    <w:p w:rsidR="00FD6FB5" w:rsidRDefault="00FD6FB5">
      <w:pPr>
        <w:autoSpaceDE w:val="0"/>
        <w:autoSpaceDN w:val="0"/>
        <w:adjustRightInd w:val="0"/>
        <w:ind w:left="1440"/>
        <w:jc w:val="both"/>
        <w:rPr>
          <w:color w:val="0000FF"/>
        </w:rPr>
      </w:pPr>
      <w:r>
        <w:rPr>
          <w:color w:val="0000FF"/>
        </w:rPr>
        <w:t>Since this is a new facility, the annual BE is equal to zero.</w:t>
      </w:r>
    </w:p>
    <w:p w:rsidR="00FD6FB5" w:rsidRDefault="00FD6FB5">
      <w:pPr>
        <w:autoSpaceDE w:val="0"/>
        <w:autoSpaceDN w:val="0"/>
        <w:adjustRightInd w:val="0"/>
        <w:ind w:left="1440"/>
        <w:rPr>
          <w:color w:val="0000FF"/>
        </w:rPr>
      </w:pPr>
    </w:p>
    <w:p w:rsidR="00FD6FB5" w:rsidRDefault="00FD6FB5">
      <w:pPr>
        <w:autoSpaceDE w:val="0"/>
        <w:autoSpaceDN w:val="0"/>
        <w:adjustRightInd w:val="0"/>
        <w:ind w:left="864"/>
        <w:rPr>
          <w:color w:val="FF0000"/>
        </w:rPr>
      </w:pPr>
      <w:r>
        <w:rPr>
          <w:color w:val="FF0000"/>
        </w:rPr>
        <w:t>OR</w:t>
      </w:r>
    </w:p>
    <w:p w:rsidR="00FD6FB5" w:rsidRDefault="00FD6FB5">
      <w:pPr>
        <w:autoSpaceDE w:val="0"/>
        <w:autoSpaceDN w:val="0"/>
        <w:adjustRightInd w:val="0"/>
        <w:ind w:left="864"/>
        <w:rPr>
          <w:color w:val="0000FF"/>
        </w:rPr>
      </w:pPr>
    </w:p>
    <w:p w:rsidR="00FD6FB5" w:rsidRDefault="00FD6FB5">
      <w:pPr>
        <w:autoSpaceDE w:val="0"/>
        <w:autoSpaceDN w:val="0"/>
        <w:adjustRightInd w:val="0"/>
        <w:ind w:left="1440"/>
        <w:jc w:val="both"/>
        <w:rPr>
          <w:color w:val="0000FF"/>
        </w:rPr>
      </w:pPr>
      <w:r>
        <w:rPr>
          <w:rFonts w:cs="Arial"/>
          <w:color w:val="0000FF"/>
        </w:rPr>
        <w:t>Since this unit is not located at a major source, BE = Pre-project Potential to Emit.</w:t>
      </w:r>
    </w:p>
    <w:p w:rsidR="00FD6FB5" w:rsidRDefault="00FD6FB5">
      <w:pPr>
        <w:autoSpaceDE w:val="0"/>
        <w:autoSpaceDN w:val="0"/>
        <w:adjustRightInd w:val="0"/>
        <w:ind w:left="864"/>
        <w:rPr>
          <w:color w:val="000000"/>
        </w:rPr>
      </w:pPr>
    </w:p>
    <w:tbl>
      <w:tblPr>
        <w:tblW w:w="0" w:type="auto"/>
        <w:tblInd w:w="14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90"/>
        <w:gridCol w:w="1116"/>
        <w:gridCol w:w="1116"/>
        <w:gridCol w:w="1116"/>
        <w:gridCol w:w="1116"/>
        <w:gridCol w:w="1116"/>
      </w:tblGrid>
      <w:tr w:rsidR="00FD6FB5" w:rsidTr="006B0360">
        <w:trPr>
          <w:cantSplit/>
          <w:trHeight w:val="100"/>
        </w:trPr>
        <w:tc>
          <w:tcPr>
            <w:tcW w:w="7470" w:type="dxa"/>
            <w:gridSpan w:val="6"/>
            <w:tcBorders>
              <w:top w:val="double" w:sz="4" w:space="0" w:color="auto"/>
              <w:left w:val="double" w:sz="4" w:space="0" w:color="auto"/>
              <w:bottom w:val="nil"/>
              <w:right w:val="double" w:sz="4" w:space="0" w:color="auto"/>
            </w:tcBorders>
            <w:shd w:val="clear" w:color="auto" w:fill="auto"/>
          </w:tcPr>
          <w:p w:rsidR="00FD6FB5" w:rsidRPr="007009EE" w:rsidRDefault="00FD6FB5" w:rsidP="009A4D6E">
            <w:pPr>
              <w:spacing w:before="40" w:after="40"/>
              <w:jc w:val="center"/>
              <w:rPr>
                <w:rFonts w:cs="Arial"/>
                <w:b/>
                <w:snapToGrid w:val="0"/>
                <w:color w:val="000000"/>
                <w:sz w:val="22"/>
                <w:szCs w:val="22"/>
              </w:rPr>
            </w:pPr>
            <w:r w:rsidRPr="007009EE">
              <w:rPr>
                <w:rFonts w:cs="Arial"/>
                <w:b/>
                <w:bCs/>
                <w:color w:val="000000"/>
                <w:spacing w:val="-3"/>
                <w:sz w:val="22"/>
                <w:szCs w:val="22"/>
              </w:rPr>
              <w:t xml:space="preserve">Annual BE </w:t>
            </w:r>
            <w:r w:rsidR="008B2F73" w:rsidRPr="008B2F73">
              <w:rPr>
                <w:rFonts w:cs="Arial"/>
                <w:b/>
                <w:bCs/>
                <w:color w:val="000000"/>
                <w:spacing w:val="-3"/>
                <w:sz w:val="22"/>
                <w:szCs w:val="22"/>
              </w:rPr>
              <w:t>lbs</w:t>
            </w:r>
            <w:r w:rsidRPr="007009EE">
              <w:rPr>
                <w:rFonts w:cs="Arial"/>
                <w:b/>
                <w:bCs/>
                <w:color w:val="000000"/>
                <w:spacing w:val="-3"/>
                <w:sz w:val="22"/>
                <w:szCs w:val="22"/>
              </w:rPr>
              <w:t xml:space="preserve">/yr </w:t>
            </w:r>
          </w:p>
        </w:tc>
      </w:tr>
      <w:tr w:rsidR="00FD6FB5" w:rsidTr="00EE43CC">
        <w:trPr>
          <w:cantSplit/>
          <w:trHeight w:val="160"/>
        </w:trPr>
        <w:tc>
          <w:tcPr>
            <w:tcW w:w="1890" w:type="dxa"/>
            <w:tcBorders>
              <w:top w:val="double" w:sz="4" w:space="0" w:color="auto"/>
              <w:left w:val="double" w:sz="4" w:space="0" w:color="auto"/>
              <w:bottom w:val="double" w:sz="4" w:space="0" w:color="auto"/>
            </w:tcBorders>
            <w:shd w:val="clear" w:color="auto" w:fill="auto"/>
          </w:tcPr>
          <w:p w:rsidR="00FD6FB5" w:rsidRPr="007009EE" w:rsidRDefault="00FD6FB5">
            <w:pPr>
              <w:jc w:val="center"/>
              <w:rPr>
                <w:b/>
                <w:bCs/>
                <w:sz w:val="22"/>
                <w:szCs w:val="22"/>
              </w:rPr>
            </w:pPr>
            <w:r w:rsidRPr="007009EE">
              <w:rPr>
                <w:b/>
                <w:bCs/>
                <w:sz w:val="22"/>
                <w:szCs w:val="22"/>
              </w:rPr>
              <w:t>Permit Number</w:t>
            </w:r>
          </w:p>
        </w:tc>
        <w:tc>
          <w:tcPr>
            <w:tcW w:w="1116" w:type="dxa"/>
            <w:tcBorders>
              <w:top w:val="double" w:sz="4" w:space="0" w:color="auto"/>
              <w:bottom w:val="double" w:sz="4" w:space="0" w:color="auto"/>
            </w:tcBorders>
            <w:shd w:val="clear" w:color="auto" w:fill="auto"/>
          </w:tcPr>
          <w:p w:rsidR="00FD6FB5" w:rsidRPr="007009EE" w:rsidRDefault="00FD6FB5">
            <w:pPr>
              <w:jc w:val="center"/>
              <w:rPr>
                <w:b/>
                <w:bCs/>
                <w:sz w:val="22"/>
                <w:szCs w:val="22"/>
              </w:rPr>
            </w:pPr>
            <w:r w:rsidRPr="007009EE">
              <w:rPr>
                <w:b/>
                <w:bCs/>
                <w:sz w:val="22"/>
                <w:szCs w:val="22"/>
              </w:rPr>
              <w:t>NO</w:t>
            </w:r>
            <w:r w:rsidRPr="007009EE">
              <w:rPr>
                <w:b/>
                <w:bCs/>
                <w:sz w:val="22"/>
                <w:szCs w:val="22"/>
                <w:vertAlign w:val="subscript"/>
              </w:rPr>
              <w:t>x</w:t>
            </w:r>
          </w:p>
        </w:tc>
        <w:tc>
          <w:tcPr>
            <w:tcW w:w="1116" w:type="dxa"/>
            <w:tcBorders>
              <w:top w:val="double" w:sz="4" w:space="0" w:color="auto"/>
              <w:bottom w:val="double" w:sz="4" w:space="0" w:color="auto"/>
              <w:right w:val="single" w:sz="6" w:space="0" w:color="auto"/>
            </w:tcBorders>
            <w:shd w:val="clear" w:color="auto" w:fill="auto"/>
          </w:tcPr>
          <w:p w:rsidR="00FD6FB5" w:rsidRPr="007009EE" w:rsidRDefault="00FD6FB5">
            <w:pPr>
              <w:jc w:val="center"/>
              <w:rPr>
                <w:b/>
                <w:bCs/>
                <w:sz w:val="22"/>
                <w:szCs w:val="22"/>
                <w:vertAlign w:val="subscript"/>
              </w:rPr>
            </w:pPr>
            <w:r w:rsidRPr="007009EE">
              <w:rPr>
                <w:b/>
                <w:bCs/>
                <w:sz w:val="22"/>
                <w:szCs w:val="22"/>
              </w:rPr>
              <w:t>SO</w:t>
            </w:r>
            <w:r w:rsidRPr="007009EE">
              <w:rPr>
                <w:b/>
                <w:bCs/>
                <w:sz w:val="22"/>
                <w:szCs w:val="22"/>
                <w:vertAlign w:val="subscript"/>
              </w:rPr>
              <w:t>x</w:t>
            </w:r>
          </w:p>
        </w:tc>
        <w:tc>
          <w:tcPr>
            <w:tcW w:w="1116" w:type="dxa"/>
            <w:tcBorders>
              <w:top w:val="double" w:sz="4" w:space="0" w:color="auto"/>
              <w:left w:val="single" w:sz="6" w:space="0" w:color="auto"/>
              <w:bottom w:val="double" w:sz="4" w:space="0" w:color="auto"/>
              <w:right w:val="single" w:sz="6" w:space="0" w:color="auto"/>
            </w:tcBorders>
            <w:shd w:val="clear" w:color="auto" w:fill="auto"/>
          </w:tcPr>
          <w:p w:rsidR="00FD6FB5" w:rsidRPr="007009EE" w:rsidRDefault="00FD6FB5">
            <w:pPr>
              <w:jc w:val="center"/>
              <w:rPr>
                <w:b/>
                <w:bCs/>
                <w:sz w:val="22"/>
                <w:szCs w:val="22"/>
              </w:rPr>
            </w:pPr>
            <w:r w:rsidRPr="007009EE">
              <w:rPr>
                <w:b/>
                <w:bCs/>
                <w:sz w:val="22"/>
                <w:szCs w:val="22"/>
              </w:rPr>
              <w:t>PM</w:t>
            </w:r>
            <w:r w:rsidRPr="007009EE">
              <w:rPr>
                <w:b/>
                <w:bCs/>
                <w:sz w:val="22"/>
                <w:szCs w:val="22"/>
                <w:vertAlign w:val="subscript"/>
              </w:rPr>
              <w:t>10</w:t>
            </w:r>
          </w:p>
        </w:tc>
        <w:tc>
          <w:tcPr>
            <w:tcW w:w="1116" w:type="dxa"/>
            <w:tcBorders>
              <w:top w:val="double" w:sz="4" w:space="0" w:color="auto"/>
              <w:left w:val="single" w:sz="6" w:space="0" w:color="auto"/>
              <w:bottom w:val="double" w:sz="4" w:space="0" w:color="auto"/>
              <w:right w:val="single" w:sz="6" w:space="0" w:color="auto"/>
            </w:tcBorders>
            <w:shd w:val="clear" w:color="auto" w:fill="auto"/>
          </w:tcPr>
          <w:p w:rsidR="00FD6FB5" w:rsidRPr="007009EE" w:rsidRDefault="00FD6FB5">
            <w:pPr>
              <w:jc w:val="center"/>
              <w:rPr>
                <w:b/>
                <w:bCs/>
                <w:sz w:val="22"/>
                <w:szCs w:val="22"/>
              </w:rPr>
            </w:pPr>
            <w:r w:rsidRPr="007009EE">
              <w:rPr>
                <w:b/>
                <w:bCs/>
                <w:sz w:val="22"/>
                <w:szCs w:val="22"/>
              </w:rPr>
              <w:t>CO</w:t>
            </w:r>
          </w:p>
        </w:tc>
        <w:tc>
          <w:tcPr>
            <w:tcW w:w="1116" w:type="dxa"/>
            <w:tcBorders>
              <w:top w:val="double" w:sz="4" w:space="0" w:color="auto"/>
              <w:left w:val="single" w:sz="6" w:space="0" w:color="auto"/>
              <w:bottom w:val="double" w:sz="4" w:space="0" w:color="auto"/>
              <w:right w:val="double" w:sz="4" w:space="0" w:color="auto"/>
            </w:tcBorders>
            <w:shd w:val="clear" w:color="auto" w:fill="auto"/>
          </w:tcPr>
          <w:p w:rsidR="00FD6FB5" w:rsidRPr="007009EE" w:rsidRDefault="00FD6FB5">
            <w:pPr>
              <w:jc w:val="center"/>
              <w:rPr>
                <w:b/>
                <w:bCs/>
                <w:sz w:val="22"/>
                <w:szCs w:val="22"/>
              </w:rPr>
            </w:pPr>
            <w:r w:rsidRPr="007009EE">
              <w:rPr>
                <w:b/>
                <w:bCs/>
                <w:sz w:val="22"/>
                <w:szCs w:val="22"/>
              </w:rPr>
              <w:t>VOC</w:t>
            </w:r>
          </w:p>
        </w:tc>
      </w:tr>
      <w:tr w:rsidR="00FD6FB5">
        <w:trPr>
          <w:cantSplit/>
          <w:trHeight w:val="247"/>
        </w:trPr>
        <w:tc>
          <w:tcPr>
            <w:tcW w:w="1890" w:type="dxa"/>
            <w:tcBorders>
              <w:top w:val="nil"/>
              <w:left w:val="double" w:sz="4" w:space="0" w:color="auto"/>
              <w:bottom w:val="double" w:sz="4" w:space="0" w:color="auto"/>
            </w:tcBorders>
          </w:tcPr>
          <w:p w:rsidR="00FD6FB5" w:rsidRPr="007009EE" w:rsidRDefault="00FD6FB5">
            <w:pPr>
              <w:jc w:val="center"/>
              <w:rPr>
                <w:color w:val="0000FF"/>
                <w:sz w:val="22"/>
                <w:szCs w:val="22"/>
              </w:rPr>
            </w:pPr>
            <w:r w:rsidRPr="007009EE">
              <w:rPr>
                <w:color w:val="0000FF"/>
                <w:sz w:val="22"/>
                <w:szCs w:val="22"/>
              </w:rPr>
              <w:t>C-xxxx-xx</w:t>
            </w:r>
          </w:p>
        </w:tc>
        <w:tc>
          <w:tcPr>
            <w:tcW w:w="1116" w:type="dxa"/>
            <w:tcBorders>
              <w:top w:val="nil"/>
              <w:bottom w:val="double" w:sz="4" w:space="0" w:color="auto"/>
            </w:tcBorders>
          </w:tcPr>
          <w:p w:rsidR="00FD6FB5" w:rsidRPr="007009EE" w:rsidRDefault="00FD6FB5">
            <w:pPr>
              <w:jc w:val="center"/>
              <w:rPr>
                <w:color w:val="0000FF"/>
                <w:sz w:val="22"/>
                <w:szCs w:val="22"/>
              </w:rPr>
            </w:pPr>
            <w:r w:rsidRPr="007009EE">
              <w:rPr>
                <w:color w:val="0000FF"/>
                <w:sz w:val="22"/>
                <w:szCs w:val="22"/>
              </w:rPr>
              <w:t>[  ]</w:t>
            </w:r>
          </w:p>
        </w:tc>
        <w:tc>
          <w:tcPr>
            <w:tcW w:w="1116" w:type="dxa"/>
            <w:tcBorders>
              <w:top w:val="nil"/>
              <w:bottom w:val="double" w:sz="4" w:space="0" w:color="auto"/>
              <w:right w:val="single" w:sz="6" w:space="0" w:color="auto"/>
            </w:tcBorders>
          </w:tcPr>
          <w:p w:rsidR="00FD6FB5" w:rsidRPr="007009EE" w:rsidRDefault="00FD6FB5">
            <w:pPr>
              <w:jc w:val="center"/>
              <w:rPr>
                <w:color w:val="0000FF"/>
                <w:sz w:val="22"/>
                <w:szCs w:val="22"/>
              </w:rPr>
            </w:pPr>
            <w:r w:rsidRPr="007009EE">
              <w:rPr>
                <w:color w:val="0000FF"/>
                <w:sz w:val="22"/>
                <w:szCs w:val="22"/>
              </w:rPr>
              <w:t>[  ]</w:t>
            </w:r>
          </w:p>
        </w:tc>
        <w:tc>
          <w:tcPr>
            <w:tcW w:w="1116" w:type="dxa"/>
            <w:tcBorders>
              <w:top w:val="nil"/>
              <w:left w:val="single" w:sz="6" w:space="0" w:color="auto"/>
              <w:bottom w:val="double" w:sz="4" w:space="0" w:color="auto"/>
              <w:right w:val="single" w:sz="6" w:space="0" w:color="auto"/>
            </w:tcBorders>
          </w:tcPr>
          <w:p w:rsidR="00FD6FB5" w:rsidRPr="007009EE" w:rsidRDefault="00FD6FB5">
            <w:pPr>
              <w:jc w:val="center"/>
              <w:rPr>
                <w:color w:val="0000FF"/>
                <w:sz w:val="22"/>
                <w:szCs w:val="22"/>
              </w:rPr>
            </w:pPr>
            <w:r w:rsidRPr="007009EE">
              <w:rPr>
                <w:color w:val="0000FF"/>
                <w:sz w:val="22"/>
                <w:szCs w:val="22"/>
              </w:rPr>
              <w:t>[  ]</w:t>
            </w:r>
          </w:p>
        </w:tc>
        <w:tc>
          <w:tcPr>
            <w:tcW w:w="1116" w:type="dxa"/>
            <w:tcBorders>
              <w:top w:val="nil"/>
              <w:left w:val="single" w:sz="6" w:space="0" w:color="auto"/>
              <w:bottom w:val="double" w:sz="4" w:space="0" w:color="auto"/>
              <w:right w:val="single" w:sz="6" w:space="0" w:color="auto"/>
            </w:tcBorders>
          </w:tcPr>
          <w:p w:rsidR="00FD6FB5" w:rsidRPr="007009EE" w:rsidRDefault="00FD6FB5">
            <w:pPr>
              <w:jc w:val="center"/>
              <w:rPr>
                <w:color w:val="0000FF"/>
                <w:sz w:val="22"/>
                <w:szCs w:val="22"/>
              </w:rPr>
            </w:pPr>
            <w:r w:rsidRPr="007009EE">
              <w:rPr>
                <w:color w:val="0000FF"/>
                <w:sz w:val="22"/>
                <w:szCs w:val="22"/>
              </w:rPr>
              <w:t>[  ]</w:t>
            </w:r>
          </w:p>
        </w:tc>
        <w:tc>
          <w:tcPr>
            <w:tcW w:w="1116" w:type="dxa"/>
            <w:tcBorders>
              <w:top w:val="nil"/>
              <w:left w:val="single" w:sz="6" w:space="0" w:color="auto"/>
              <w:bottom w:val="double" w:sz="4" w:space="0" w:color="auto"/>
              <w:right w:val="double" w:sz="4" w:space="0" w:color="auto"/>
            </w:tcBorders>
          </w:tcPr>
          <w:p w:rsidR="00FD6FB5" w:rsidRPr="007009EE" w:rsidRDefault="00FD6FB5">
            <w:pPr>
              <w:jc w:val="center"/>
              <w:rPr>
                <w:color w:val="0000FF"/>
                <w:sz w:val="22"/>
                <w:szCs w:val="22"/>
              </w:rPr>
            </w:pPr>
            <w:r w:rsidRPr="007009EE">
              <w:rPr>
                <w:color w:val="0000FF"/>
                <w:sz w:val="22"/>
                <w:szCs w:val="22"/>
              </w:rPr>
              <w:t>[  ]</w:t>
            </w:r>
          </w:p>
        </w:tc>
      </w:tr>
    </w:tbl>
    <w:p w:rsidR="00FD6FB5" w:rsidRDefault="00FD6FB5">
      <w:pPr>
        <w:autoSpaceDE w:val="0"/>
        <w:autoSpaceDN w:val="0"/>
        <w:adjustRightInd w:val="0"/>
        <w:ind w:left="864"/>
        <w:rPr>
          <w:color w:val="000000"/>
        </w:rPr>
      </w:pPr>
    </w:p>
    <w:p w:rsidR="00B6069B" w:rsidRPr="00B6069B" w:rsidRDefault="00B6069B" w:rsidP="00B6069B"/>
    <w:p w:rsidR="00B6069B" w:rsidRPr="007009EE" w:rsidRDefault="00B6069B" w:rsidP="007009EE">
      <w:pPr>
        <w:autoSpaceDE w:val="0"/>
        <w:autoSpaceDN w:val="0"/>
        <w:adjustRightInd w:val="0"/>
        <w:ind w:left="864" w:firstLine="216"/>
        <w:rPr>
          <w:b/>
          <w:bCs/>
          <w:color w:val="000000"/>
        </w:rPr>
      </w:pPr>
      <w:r w:rsidRPr="007009EE">
        <w:rPr>
          <w:b/>
          <w:bCs/>
          <w:color w:val="000000"/>
        </w:rPr>
        <w:t>7.  SB 288 Major Modification</w:t>
      </w:r>
    </w:p>
    <w:p w:rsidR="00B6069B" w:rsidRPr="00B6069B" w:rsidRDefault="00B6069B" w:rsidP="00B6069B">
      <w:pPr>
        <w:keepNext/>
        <w:suppressAutoHyphens/>
        <w:ind w:left="720"/>
        <w:outlineLvl w:val="2"/>
        <w:rPr>
          <w:b/>
        </w:rPr>
      </w:pPr>
    </w:p>
    <w:p w:rsidR="00B6069B" w:rsidRPr="007009EE" w:rsidRDefault="00B6069B" w:rsidP="007009EE">
      <w:pPr>
        <w:autoSpaceDE w:val="0"/>
        <w:autoSpaceDN w:val="0"/>
        <w:adjustRightInd w:val="0"/>
        <w:ind w:left="1440"/>
        <w:jc w:val="both"/>
        <w:rPr>
          <w:color w:val="000000"/>
        </w:rPr>
      </w:pPr>
      <w:r w:rsidRPr="007009EE">
        <w:rPr>
          <w:color w:val="000000"/>
        </w:rPr>
        <w:t>SB 288 Major Modification is defined in 40 CFR Part 51.165 as "any physical change in or change in the method of operation of a major stationary source that would result in a significant net emissions increase of any pollutant subject to regulation under the Act."</w:t>
      </w:r>
    </w:p>
    <w:p w:rsidR="00B6069B" w:rsidRPr="00B6069B" w:rsidRDefault="00B6069B" w:rsidP="00B6069B">
      <w:pPr>
        <w:keepNext/>
        <w:suppressAutoHyphens/>
        <w:ind w:left="720"/>
        <w:outlineLvl w:val="2"/>
      </w:pPr>
    </w:p>
    <w:p w:rsidR="00B6069B" w:rsidRPr="007009EE" w:rsidRDefault="00B6069B" w:rsidP="007009EE">
      <w:pPr>
        <w:autoSpaceDE w:val="0"/>
        <w:autoSpaceDN w:val="0"/>
        <w:adjustRightInd w:val="0"/>
        <w:ind w:left="1440"/>
        <w:jc w:val="both"/>
        <w:rPr>
          <w:color w:val="000000"/>
        </w:rPr>
      </w:pPr>
      <w:r w:rsidRPr="007009EE">
        <w:rPr>
          <w:color w:val="000000"/>
        </w:rPr>
        <w:t>As discussed in Section VII.C.5 above, this facility is not a major source for any of the pollutants addressed in this project; therefore, the project does not constitute a SB 288 Major Modification</w:t>
      </w:r>
    </w:p>
    <w:p w:rsidR="00B6069B" w:rsidRPr="00B6069B" w:rsidRDefault="00B6069B" w:rsidP="00B6069B">
      <w:pPr>
        <w:ind w:left="1080"/>
        <w:rPr>
          <w:b/>
          <w:bCs/>
        </w:rPr>
      </w:pPr>
    </w:p>
    <w:p w:rsidR="00B6069B" w:rsidRPr="007009EE" w:rsidRDefault="00B6069B" w:rsidP="007009EE">
      <w:pPr>
        <w:autoSpaceDE w:val="0"/>
        <w:autoSpaceDN w:val="0"/>
        <w:adjustRightInd w:val="0"/>
        <w:ind w:left="864" w:firstLine="216"/>
        <w:rPr>
          <w:b/>
          <w:bCs/>
          <w:color w:val="000000"/>
        </w:rPr>
      </w:pPr>
      <w:r w:rsidRPr="007009EE">
        <w:rPr>
          <w:b/>
          <w:bCs/>
          <w:color w:val="000000"/>
        </w:rPr>
        <w:t>8.  Federal Major Modification</w:t>
      </w:r>
    </w:p>
    <w:p w:rsidR="00B6069B" w:rsidRPr="00B6069B" w:rsidRDefault="00B6069B" w:rsidP="00B6069B">
      <w:pPr>
        <w:ind w:left="900"/>
        <w:rPr>
          <w:b/>
          <w:bCs/>
        </w:rPr>
      </w:pPr>
    </w:p>
    <w:p w:rsidR="00B6069B" w:rsidRPr="007009EE" w:rsidRDefault="00B6069B" w:rsidP="007009EE">
      <w:pPr>
        <w:autoSpaceDE w:val="0"/>
        <w:autoSpaceDN w:val="0"/>
        <w:adjustRightInd w:val="0"/>
        <w:ind w:left="1440"/>
        <w:jc w:val="both"/>
        <w:rPr>
          <w:color w:val="000000"/>
        </w:rPr>
      </w:pPr>
      <w:r w:rsidRPr="00B6069B">
        <w:rPr>
          <w:color w:val="000000"/>
        </w:rPr>
        <w:t xml:space="preserve">District Rule 2201 states that Federal Major Modifications are the same as “Major Modification” as defined in 40 CFR 51.165 and part D of Title I of the CAA.  </w:t>
      </w:r>
    </w:p>
    <w:p w:rsidR="00B6069B" w:rsidRPr="007009EE" w:rsidRDefault="00B6069B" w:rsidP="007009EE">
      <w:pPr>
        <w:autoSpaceDE w:val="0"/>
        <w:autoSpaceDN w:val="0"/>
        <w:adjustRightInd w:val="0"/>
        <w:ind w:left="1440"/>
        <w:jc w:val="both"/>
        <w:rPr>
          <w:color w:val="000000"/>
        </w:rPr>
      </w:pPr>
    </w:p>
    <w:p w:rsidR="00B6069B" w:rsidRPr="007009EE" w:rsidRDefault="00B6069B" w:rsidP="007009EE">
      <w:pPr>
        <w:autoSpaceDE w:val="0"/>
        <w:autoSpaceDN w:val="0"/>
        <w:adjustRightInd w:val="0"/>
        <w:ind w:left="1440"/>
        <w:jc w:val="both"/>
        <w:rPr>
          <w:color w:val="000000"/>
        </w:rPr>
      </w:pPr>
      <w:r w:rsidRPr="007009EE">
        <w:rPr>
          <w:color w:val="000000"/>
        </w:rPr>
        <w:t>Since this facility is not a Major Source for any pollutants, this project does not constitute a Federal Major Modification.  Additionally, since the facility is not a major source for PM10 (140,000 lb/year), it is not a major source for PM2.5 (200,000 lb/year).</w:t>
      </w:r>
    </w:p>
    <w:p w:rsidR="00563F16" w:rsidRDefault="00563F16" w:rsidP="00563F16">
      <w:pPr>
        <w:tabs>
          <w:tab w:val="left" w:pos="1080"/>
        </w:tabs>
        <w:autoSpaceDE w:val="0"/>
        <w:autoSpaceDN w:val="0"/>
        <w:adjustRightInd w:val="0"/>
        <w:ind w:left="720"/>
        <w:rPr>
          <w:b/>
          <w:bCs/>
          <w:color w:val="000000"/>
        </w:rPr>
      </w:pPr>
    </w:p>
    <w:p w:rsidR="00C679D5" w:rsidRPr="00563F16" w:rsidRDefault="00C679D5" w:rsidP="00C679D5">
      <w:pPr>
        <w:autoSpaceDE w:val="0"/>
        <w:autoSpaceDN w:val="0"/>
        <w:adjustRightInd w:val="0"/>
        <w:ind w:left="2790" w:hanging="1710"/>
        <w:rPr>
          <w:b/>
          <w:bCs/>
          <w:color w:val="000000"/>
        </w:rPr>
      </w:pPr>
      <w:r>
        <w:rPr>
          <w:b/>
          <w:bCs/>
          <w:color w:val="000000"/>
        </w:rPr>
        <w:t xml:space="preserve">9.  </w:t>
      </w:r>
      <w:r w:rsidRPr="00563F16">
        <w:rPr>
          <w:b/>
          <w:bCs/>
          <w:color w:val="000000"/>
        </w:rPr>
        <w:t>Rule 2410 – Prevention of Significant Deterioration (PSD) Applicability Determination</w:t>
      </w:r>
    </w:p>
    <w:p w:rsidR="00C679D5" w:rsidRPr="00563F16" w:rsidRDefault="00C679D5" w:rsidP="00C679D5">
      <w:pPr>
        <w:shd w:val="clear" w:color="auto" w:fill="FFFFFF"/>
        <w:suppressAutoHyphens/>
        <w:ind w:left="720"/>
        <w:jc w:val="both"/>
        <w:rPr>
          <w:rFonts w:cs="Arial"/>
          <w:noProof/>
          <w:color w:val="000000"/>
        </w:rPr>
      </w:pPr>
    </w:p>
    <w:p w:rsidR="00C679D5" w:rsidRPr="00563F16" w:rsidRDefault="00C679D5" w:rsidP="00C679D5">
      <w:pPr>
        <w:autoSpaceDE w:val="0"/>
        <w:autoSpaceDN w:val="0"/>
        <w:adjustRightInd w:val="0"/>
        <w:ind w:left="1440"/>
        <w:jc w:val="both"/>
        <w:rPr>
          <w:color w:val="000000"/>
        </w:rPr>
      </w:pPr>
      <w:r w:rsidRPr="00563F16">
        <w:rPr>
          <w:color w:val="000000"/>
        </w:rPr>
        <w:t xml:space="preserve">Rule 2410 applies to pollutants for which the District is in attainment or for </w:t>
      </w:r>
      <w:r w:rsidR="00EE43CC" w:rsidRPr="00563F16">
        <w:rPr>
          <w:color w:val="000000"/>
        </w:rPr>
        <w:t>unclassified</w:t>
      </w:r>
      <w:r w:rsidRPr="00563F16">
        <w:rPr>
          <w:color w:val="000000"/>
        </w:rPr>
        <w:t xml:space="preserve"> pollutants.  The pollutants addressed in the PSD applicability determination are listed as follows:</w:t>
      </w:r>
    </w:p>
    <w:p w:rsidR="00C679D5" w:rsidRPr="00563F16" w:rsidRDefault="00C679D5" w:rsidP="00C679D5">
      <w:pPr>
        <w:shd w:val="clear" w:color="auto" w:fill="FFFFFF"/>
        <w:suppressAutoHyphens/>
        <w:ind w:left="720"/>
        <w:jc w:val="both"/>
        <w:rPr>
          <w:rFonts w:cs="Arial"/>
          <w:noProof/>
          <w:sz w:val="12"/>
          <w:szCs w:val="12"/>
        </w:rPr>
      </w:pPr>
    </w:p>
    <w:p w:rsidR="00C679D5" w:rsidRPr="00563F16" w:rsidRDefault="00C679D5" w:rsidP="00C679D5">
      <w:pPr>
        <w:numPr>
          <w:ilvl w:val="0"/>
          <w:numId w:val="36"/>
        </w:numPr>
        <w:shd w:val="clear" w:color="auto" w:fill="FFFFFF"/>
        <w:suppressAutoHyphens/>
        <w:contextualSpacing/>
        <w:jc w:val="both"/>
        <w:rPr>
          <w:rFonts w:cs="Arial"/>
          <w:noProof/>
        </w:rPr>
      </w:pPr>
      <w:r w:rsidRPr="00563F16">
        <w:rPr>
          <w:rFonts w:cs="Arial"/>
          <w:noProof/>
        </w:rPr>
        <w:t>NO2 (as a primary pollutant)</w:t>
      </w:r>
    </w:p>
    <w:p w:rsidR="00C679D5" w:rsidRPr="00563F16" w:rsidRDefault="00C679D5" w:rsidP="00C679D5">
      <w:pPr>
        <w:numPr>
          <w:ilvl w:val="0"/>
          <w:numId w:val="36"/>
        </w:numPr>
        <w:shd w:val="clear" w:color="auto" w:fill="FFFFFF"/>
        <w:suppressAutoHyphens/>
        <w:contextualSpacing/>
        <w:jc w:val="both"/>
        <w:rPr>
          <w:rFonts w:cs="Arial"/>
          <w:noProof/>
        </w:rPr>
      </w:pPr>
      <w:r w:rsidRPr="00563F16">
        <w:rPr>
          <w:rFonts w:cs="Arial"/>
          <w:noProof/>
        </w:rPr>
        <w:t>SO2 (as a primary pollutant)</w:t>
      </w:r>
    </w:p>
    <w:p w:rsidR="00C679D5" w:rsidRPr="00563F16" w:rsidRDefault="00C679D5" w:rsidP="00C679D5">
      <w:pPr>
        <w:numPr>
          <w:ilvl w:val="0"/>
          <w:numId w:val="36"/>
        </w:numPr>
        <w:shd w:val="clear" w:color="auto" w:fill="FFFFFF"/>
        <w:suppressAutoHyphens/>
        <w:contextualSpacing/>
        <w:jc w:val="both"/>
        <w:rPr>
          <w:rFonts w:cs="Arial"/>
          <w:noProof/>
        </w:rPr>
      </w:pPr>
      <w:r w:rsidRPr="00563F16">
        <w:rPr>
          <w:rFonts w:cs="Arial"/>
          <w:noProof/>
        </w:rPr>
        <w:t>CO</w:t>
      </w:r>
    </w:p>
    <w:p w:rsidR="00C679D5" w:rsidRPr="00563F16" w:rsidRDefault="00C679D5" w:rsidP="00C679D5">
      <w:pPr>
        <w:numPr>
          <w:ilvl w:val="0"/>
          <w:numId w:val="36"/>
        </w:numPr>
        <w:shd w:val="clear" w:color="auto" w:fill="FFFFFF"/>
        <w:suppressAutoHyphens/>
        <w:contextualSpacing/>
        <w:jc w:val="both"/>
        <w:rPr>
          <w:rFonts w:cs="Arial"/>
          <w:noProof/>
        </w:rPr>
      </w:pPr>
      <w:r w:rsidRPr="00563F16">
        <w:rPr>
          <w:rFonts w:cs="Arial"/>
          <w:noProof/>
        </w:rPr>
        <w:t>PM</w:t>
      </w:r>
    </w:p>
    <w:p w:rsidR="00C679D5" w:rsidRPr="00563F16" w:rsidRDefault="00C679D5" w:rsidP="00C679D5">
      <w:pPr>
        <w:numPr>
          <w:ilvl w:val="0"/>
          <w:numId w:val="36"/>
        </w:numPr>
        <w:shd w:val="clear" w:color="auto" w:fill="FFFFFF"/>
        <w:suppressAutoHyphens/>
        <w:contextualSpacing/>
        <w:jc w:val="both"/>
        <w:rPr>
          <w:rFonts w:cs="Arial"/>
          <w:noProof/>
        </w:rPr>
      </w:pPr>
      <w:r w:rsidRPr="00563F16">
        <w:rPr>
          <w:rFonts w:cs="Arial"/>
          <w:noProof/>
        </w:rPr>
        <w:t>PM10</w:t>
      </w:r>
    </w:p>
    <w:p w:rsidR="00C679D5" w:rsidRPr="00563F16" w:rsidRDefault="00C679D5" w:rsidP="00C679D5">
      <w:pPr>
        <w:numPr>
          <w:ilvl w:val="0"/>
          <w:numId w:val="36"/>
        </w:numPr>
        <w:shd w:val="clear" w:color="auto" w:fill="FFFFFF"/>
        <w:suppressAutoHyphens/>
        <w:contextualSpacing/>
        <w:jc w:val="both"/>
        <w:rPr>
          <w:rFonts w:cs="Arial"/>
          <w:noProof/>
        </w:rPr>
      </w:pPr>
      <w:r w:rsidRPr="00563F16">
        <w:rPr>
          <w:rFonts w:cs="Arial"/>
          <w:noProof/>
        </w:rPr>
        <w:t>Greenhouse gases (GHG):  CO2, N2O, CH4, HFCs, PFCs, and SF6</w:t>
      </w:r>
    </w:p>
    <w:p w:rsidR="00C679D5" w:rsidRPr="00563F16" w:rsidRDefault="00C679D5" w:rsidP="00C679D5">
      <w:pPr>
        <w:shd w:val="clear" w:color="auto" w:fill="FFFFFF"/>
        <w:suppressAutoHyphens/>
        <w:ind w:left="720"/>
        <w:jc w:val="both"/>
        <w:rPr>
          <w:rFonts w:cs="Arial"/>
          <w:noProof/>
        </w:rPr>
      </w:pPr>
    </w:p>
    <w:p w:rsidR="00C679D5" w:rsidRPr="00563F16" w:rsidRDefault="00C679D5" w:rsidP="00C679D5">
      <w:pPr>
        <w:autoSpaceDE w:val="0"/>
        <w:autoSpaceDN w:val="0"/>
        <w:adjustRightInd w:val="0"/>
        <w:ind w:left="1440"/>
        <w:jc w:val="both"/>
        <w:rPr>
          <w:color w:val="000000"/>
        </w:rPr>
      </w:pPr>
      <w:r w:rsidRPr="00563F16">
        <w:rPr>
          <w:color w:val="000000"/>
        </w:rPr>
        <w:t>The first step of this PSD evaluation consists of determining whether the facility is an existing PSD Major Source or not (See Section Vll.C.5 of this document).</w:t>
      </w:r>
    </w:p>
    <w:p w:rsidR="00C679D5" w:rsidRPr="00563F16" w:rsidRDefault="00C679D5" w:rsidP="00C679D5">
      <w:pPr>
        <w:autoSpaceDE w:val="0"/>
        <w:autoSpaceDN w:val="0"/>
        <w:adjustRightInd w:val="0"/>
        <w:ind w:left="1440"/>
        <w:jc w:val="both"/>
        <w:rPr>
          <w:color w:val="000000"/>
        </w:rPr>
      </w:pPr>
    </w:p>
    <w:p w:rsidR="00C679D5" w:rsidRPr="00563F16" w:rsidRDefault="00C679D5" w:rsidP="00C679D5">
      <w:pPr>
        <w:autoSpaceDE w:val="0"/>
        <w:autoSpaceDN w:val="0"/>
        <w:adjustRightInd w:val="0"/>
        <w:ind w:left="1440"/>
        <w:jc w:val="both"/>
        <w:rPr>
          <w:color w:val="000000"/>
        </w:rPr>
      </w:pPr>
      <w:r w:rsidRPr="00563F16">
        <w:rPr>
          <w:color w:val="000000"/>
        </w:rPr>
        <w:t>In the case the facility is an existing PSD Major Source, the second step of the PSD evaluation is to determine if the project results in a PSD significant increase.</w:t>
      </w:r>
    </w:p>
    <w:p w:rsidR="00C679D5" w:rsidRPr="00563F16" w:rsidRDefault="00C679D5" w:rsidP="00C679D5">
      <w:pPr>
        <w:autoSpaceDE w:val="0"/>
        <w:autoSpaceDN w:val="0"/>
        <w:adjustRightInd w:val="0"/>
        <w:ind w:left="1440"/>
        <w:jc w:val="both"/>
        <w:rPr>
          <w:color w:val="000000"/>
        </w:rPr>
      </w:pPr>
    </w:p>
    <w:p w:rsidR="00C679D5" w:rsidRPr="00563F16" w:rsidRDefault="00C679D5" w:rsidP="00C679D5">
      <w:pPr>
        <w:autoSpaceDE w:val="0"/>
        <w:autoSpaceDN w:val="0"/>
        <w:adjustRightInd w:val="0"/>
        <w:ind w:left="1440"/>
        <w:jc w:val="both"/>
        <w:rPr>
          <w:color w:val="000000"/>
        </w:rPr>
      </w:pPr>
      <w:r w:rsidRPr="00563F16">
        <w:rPr>
          <w:color w:val="000000"/>
        </w:rPr>
        <w:t>In the case the facility is NOT an existing PSD Major Source but is an existing source, the second step of the PSD evaluation is to determine if the project, by itself, would be a PSD major source.</w:t>
      </w:r>
    </w:p>
    <w:p w:rsidR="00C679D5" w:rsidRPr="00563F16" w:rsidRDefault="00C679D5" w:rsidP="00C679D5">
      <w:pPr>
        <w:autoSpaceDE w:val="0"/>
        <w:autoSpaceDN w:val="0"/>
        <w:adjustRightInd w:val="0"/>
        <w:ind w:left="1440"/>
        <w:jc w:val="both"/>
        <w:rPr>
          <w:color w:val="000000"/>
        </w:rPr>
      </w:pPr>
    </w:p>
    <w:p w:rsidR="00C679D5" w:rsidRPr="00563F16" w:rsidRDefault="00C679D5" w:rsidP="00C679D5">
      <w:pPr>
        <w:autoSpaceDE w:val="0"/>
        <w:autoSpaceDN w:val="0"/>
        <w:adjustRightInd w:val="0"/>
        <w:ind w:left="1440"/>
        <w:jc w:val="both"/>
        <w:rPr>
          <w:color w:val="000000"/>
        </w:rPr>
      </w:pPr>
      <w:r w:rsidRPr="00563F16">
        <w:rPr>
          <w:color w:val="000000"/>
        </w:rPr>
        <w:t>In the case the facility is new source, the second step of the PSD evaluation is to determine if this new facility will become a new PSD major Source as a result of the project and if so, to determine which pollutant will result in a PSD significant increase.</w:t>
      </w:r>
    </w:p>
    <w:p w:rsidR="00C679D5" w:rsidRPr="00563F16" w:rsidRDefault="00C679D5" w:rsidP="00C679D5">
      <w:pPr>
        <w:shd w:val="clear" w:color="auto" w:fill="FFFFFF"/>
        <w:suppressAutoHyphens/>
        <w:ind w:left="720"/>
        <w:jc w:val="both"/>
        <w:rPr>
          <w:rFonts w:cs="Arial"/>
          <w:noProof/>
        </w:rPr>
      </w:pPr>
    </w:p>
    <w:p w:rsidR="00C679D5" w:rsidRPr="00563F16" w:rsidRDefault="00C679D5" w:rsidP="00C679D5">
      <w:pPr>
        <w:shd w:val="clear" w:color="auto" w:fill="FFFFFF"/>
        <w:suppressAutoHyphens/>
        <w:ind w:left="1080"/>
        <w:contextualSpacing/>
        <w:jc w:val="both"/>
        <w:rPr>
          <w:rFonts w:cs="Arial"/>
          <w:noProof/>
          <w:color w:val="000000"/>
        </w:rPr>
      </w:pPr>
    </w:p>
    <w:p w:rsidR="00C679D5" w:rsidRPr="00563F16" w:rsidRDefault="00C679D5" w:rsidP="00C679D5">
      <w:pPr>
        <w:numPr>
          <w:ilvl w:val="0"/>
          <w:numId w:val="37"/>
        </w:numPr>
        <w:shd w:val="clear" w:color="auto" w:fill="FFFFFF"/>
        <w:suppressAutoHyphens/>
        <w:ind w:left="1800"/>
        <w:contextualSpacing/>
        <w:jc w:val="both"/>
        <w:rPr>
          <w:rFonts w:cs="Arial"/>
          <w:b/>
          <w:noProof/>
        </w:rPr>
      </w:pPr>
      <w:r w:rsidRPr="00563F16">
        <w:rPr>
          <w:rFonts w:cs="Arial"/>
          <w:b/>
          <w:noProof/>
        </w:rPr>
        <w:lastRenderedPageBreak/>
        <w:t xml:space="preserve">Potential to Emit for New or </w:t>
      </w:r>
      <w:r w:rsidRPr="00563F16">
        <w:rPr>
          <w:rFonts w:cs="Arial"/>
          <w:b/>
          <w:noProof/>
          <w:u w:val="single"/>
        </w:rPr>
        <w:t>Modified</w:t>
      </w:r>
      <w:r w:rsidRPr="00563F16">
        <w:rPr>
          <w:rFonts w:cs="Arial"/>
          <w:b/>
          <w:noProof/>
        </w:rPr>
        <w:t xml:space="preserve"> Emission Units vs PSD Major Source Thresholds</w:t>
      </w:r>
    </w:p>
    <w:p w:rsidR="00C679D5" w:rsidRPr="00563F16" w:rsidRDefault="00C679D5" w:rsidP="00C679D5">
      <w:pPr>
        <w:suppressAutoHyphens/>
        <w:ind w:left="1080"/>
        <w:jc w:val="both"/>
        <w:rPr>
          <w:rFonts w:cs="Arial"/>
          <w:noProof/>
        </w:rPr>
      </w:pPr>
    </w:p>
    <w:p w:rsidR="00C679D5" w:rsidRPr="00563F16" w:rsidRDefault="00C679D5" w:rsidP="00C679D5">
      <w:pPr>
        <w:autoSpaceDE w:val="0"/>
        <w:autoSpaceDN w:val="0"/>
        <w:adjustRightInd w:val="0"/>
        <w:ind w:left="1440"/>
        <w:jc w:val="both"/>
        <w:rPr>
          <w:color w:val="000000"/>
        </w:rPr>
      </w:pPr>
      <w:r w:rsidRPr="00563F16">
        <w:rPr>
          <w:color w:val="000000"/>
        </w:rPr>
        <w:t xml:space="preserve">As a screening tool, the project potential to emit from all new and modified units is compared to the PSD major source threshold, and if total project potential to emit from all new and modified units is below this threshold, no </w:t>
      </w:r>
      <w:r w:rsidR="00A22732" w:rsidRPr="00563F16">
        <w:rPr>
          <w:color w:val="000000"/>
        </w:rPr>
        <w:t>further</w:t>
      </w:r>
      <w:r w:rsidRPr="00563F16">
        <w:rPr>
          <w:color w:val="000000"/>
        </w:rPr>
        <w:t xml:space="preserve"> analysis will be needed.  </w:t>
      </w:r>
    </w:p>
    <w:p w:rsidR="00C679D5" w:rsidRPr="00563F16" w:rsidRDefault="00C679D5" w:rsidP="00C679D5">
      <w:pPr>
        <w:suppressAutoHyphens/>
        <w:ind w:left="1440"/>
        <w:jc w:val="both"/>
        <w:rPr>
          <w:rFonts w:cs="Arial"/>
          <w:noProof/>
        </w:rPr>
      </w:pPr>
    </w:p>
    <w:p w:rsidR="00C679D5" w:rsidRPr="00563F16" w:rsidRDefault="00C679D5" w:rsidP="00C679D5">
      <w:pPr>
        <w:autoSpaceDE w:val="0"/>
        <w:autoSpaceDN w:val="0"/>
        <w:adjustRightInd w:val="0"/>
        <w:ind w:left="1440"/>
        <w:jc w:val="both"/>
        <w:rPr>
          <w:color w:val="000000"/>
        </w:rPr>
      </w:pPr>
      <w:r w:rsidRPr="00563F16">
        <w:rPr>
          <w:color w:val="000000"/>
        </w:rPr>
        <w:t>The facility or the equipment evaluated under this project is not listed as one of the categories specified in 40 CFR 52.21 (b)(1)(i).  Therefore the following PSD Major Source thresholds are applicable.</w:t>
      </w:r>
    </w:p>
    <w:p w:rsidR="00C679D5" w:rsidRPr="00563F16" w:rsidRDefault="00C679D5" w:rsidP="00C679D5">
      <w:pPr>
        <w:suppressAutoHyphens/>
        <w:ind w:left="1080"/>
        <w:jc w:val="both"/>
        <w:rPr>
          <w:rFonts w:cs="Arial"/>
          <w:noProof/>
        </w:rPr>
      </w:pPr>
    </w:p>
    <w:tbl>
      <w:tblPr>
        <w:tblW w:w="9360" w:type="dxa"/>
        <w:tblInd w:w="1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420"/>
        <w:gridCol w:w="810"/>
        <w:gridCol w:w="810"/>
        <w:gridCol w:w="827"/>
        <w:gridCol w:w="703"/>
        <w:gridCol w:w="720"/>
        <w:gridCol w:w="810"/>
        <w:gridCol w:w="1260"/>
      </w:tblGrid>
      <w:tr w:rsidR="00C679D5" w:rsidRPr="00563F16" w:rsidTr="00EE43CC">
        <w:trPr>
          <w:trHeight w:val="618"/>
        </w:trPr>
        <w:tc>
          <w:tcPr>
            <w:tcW w:w="9360" w:type="dxa"/>
            <w:gridSpan w:val="8"/>
            <w:tcBorders>
              <w:top w:val="double" w:sz="4" w:space="0" w:color="auto"/>
              <w:left w:val="double" w:sz="4" w:space="0" w:color="auto"/>
              <w:bottom w:val="double" w:sz="4" w:space="0" w:color="auto"/>
              <w:right w:val="double" w:sz="4" w:space="0" w:color="auto"/>
            </w:tcBorders>
            <w:shd w:val="clear" w:color="auto" w:fill="auto"/>
            <w:vAlign w:val="center"/>
            <w:hideMark/>
          </w:tcPr>
          <w:p w:rsidR="00C679D5" w:rsidRPr="00563F16" w:rsidRDefault="00C679D5" w:rsidP="00537396">
            <w:pPr>
              <w:jc w:val="both"/>
              <w:rPr>
                <w:sz w:val="22"/>
                <w:szCs w:val="22"/>
              </w:rPr>
            </w:pPr>
            <w:r w:rsidRPr="00563F16">
              <w:rPr>
                <w:sz w:val="22"/>
                <w:szCs w:val="22"/>
              </w:rPr>
              <w:t>PSD Major Source Determination: Potential to Emit</w:t>
            </w:r>
          </w:p>
          <w:p w:rsidR="00C679D5" w:rsidRPr="00E702D0" w:rsidRDefault="00C679D5" w:rsidP="00537396">
            <w:pPr>
              <w:jc w:val="both"/>
              <w:rPr>
                <w:rFonts w:cs="Arial"/>
                <w:noProof/>
                <w:color w:val="000000"/>
                <w:sz w:val="22"/>
                <w:szCs w:val="22"/>
              </w:rPr>
            </w:pPr>
            <w:r w:rsidRPr="00563F16">
              <w:rPr>
                <w:sz w:val="22"/>
                <w:szCs w:val="22"/>
              </w:rPr>
              <w:t>(tons/year)</w:t>
            </w:r>
          </w:p>
        </w:tc>
      </w:tr>
      <w:tr w:rsidR="00C679D5" w:rsidRPr="00563F16" w:rsidTr="00EE43CC">
        <w:trPr>
          <w:trHeight w:val="447"/>
        </w:trPr>
        <w:tc>
          <w:tcPr>
            <w:tcW w:w="3420" w:type="dxa"/>
            <w:tcBorders>
              <w:top w:val="double" w:sz="4" w:space="0" w:color="auto"/>
              <w:left w:val="double" w:sz="4" w:space="0" w:color="auto"/>
              <w:bottom w:val="single" w:sz="12" w:space="0" w:color="auto"/>
              <w:right w:val="single" w:sz="4" w:space="0" w:color="auto"/>
            </w:tcBorders>
            <w:shd w:val="clear" w:color="auto" w:fill="auto"/>
            <w:vAlign w:val="center"/>
          </w:tcPr>
          <w:p w:rsidR="00C679D5" w:rsidRPr="00E702D0" w:rsidRDefault="00C679D5" w:rsidP="00537396">
            <w:pPr>
              <w:jc w:val="both"/>
              <w:rPr>
                <w:rFonts w:cs="Arial"/>
                <w:noProof/>
                <w:color w:val="000000"/>
                <w:sz w:val="22"/>
                <w:szCs w:val="22"/>
              </w:rPr>
            </w:pPr>
          </w:p>
        </w:tc>
        <w:tc>
          <w:tcPr>
            <w:tcW w:w="810" w:type="dxa"/>
            <w:tcBorders>
              <w:top w:val="double" w:sz="4" w:space="0" w:color="auto"/>
              <w:left w:val="single" w:sz="4" w:space="0" w:color="auto"/>
              <w:bottom w:val="single" w:sz="12"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NO2</w:t>
            </w:r>
          </w:p>
        </w:tc>
        <w:tc>
          <w:tcPr>
            <w:tcW w:w="810" w:type="dxa"/>
            <w:tcBorders>
              <w:top w:val="double" w:sz="4" w:space="0" w:color="auto"/>
              <w:left w:val="single" w:sz="4" w:space="0" w:color="auto"/>
              <w:bottom w:val="single" w:sz="12"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VOC</w:t>
            </w:r>
          </w:p>
        </w:tc>
        <w:tc>
          <w:tcPr>
            <w:tcW w:w="827" w:type="dxa"/>
            <w:tcBorders>
              <w:top w:val="double" w:sz="4" w:space="0" w:color="auto"/>
              <w:left w:val="single" w:sz="4" w:space="0" w:color="auto"/>
              <w:bottom w:val="single" w:sz="12"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SO2</w:t>
            </w:r>
          </w:p>
        </w:tc>
        <w:tc>
          <w:tcPr>
            <w:tcW w:w="703" w:type="dxa"/>
            <w:tcBorders>
              <w:top w:val="double" w:sz="4" w:space="0" w:color="auto"/>
              <w:left w:val="single" w:sz="4" w:space="0" w:color="auto"/>
              <w:bottom w:val="single" w:sz="12"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CO</w:t>
            </w:r>
          </w:p>
        </w:tc>
        <w:tc>
          <w:tcPr>
            <w:tcW w:w="720" w:type="dxa"/>
            <w:tcBorders>
              <w:top w:val="double" w:sz="4" w:space="0" w:color="auto"/>
              <w:left w:val="single" w:sz="4" w:space="0" w:color="auto"/>
              <w:bottom w:val="single" w:sz="12"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PM</w:t>
            </w:r>
          </w:p>
        </w:tc>
        <w:tc>
          <w:tcPr>
            <w:tcW w:w="810" w:type="dxa"/>
            <w:tcBorders>
              <w:top w:val="double" w:sz="4" w:space="0" w:color="auto"/>
              <w:left w:val="single" w:sz="4" w:space="0" w:color="auto"/>
              <w:bottom w:val="single" w:sz="12"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PM10</w:t>
            </w:r>
          </w:p>
        </w:tc>
        <w:tc>
          <w:tcPr>
            <w:tcW w:w="1260" w:type="dxa"/>
            <w:tcBorders>
              <w:top w:val="double" w:sz="4" w:space="0" w:color="auto"/>
              <w:left w:val="single" w:sz="4" w:space="0" w:color="auto"/>
              <w:bottom w:val="single" w:sz="12" w:space="0" w:color="auto"/>
              <w:right w:val="doub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CO2e</w:t>
            </w:r>
          </w:p>
        </w:tc>
      </w:tr>
      <w:tr w:rsidR="00C679D5" w:rsidRPr="00563F16" w:rsidTr="00537396">
        <w:trPr>
          <w:trHeight w:val="609"/>
        </w:trPr>
        <w:tc>
          <w:tcPr>
            <w:tcW w:w="3420" w:type="dxa"/>
            <w:tcBorders>
              <w:top w:val="single" w:sz="12" w:space="0" w:color="auto"/>
              <w:left w:val="double" w:sz="4" w:space="0" w:color="auto"/>
              <w:bottom w:val="sing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563F16">
              <w:rPr>
                <w:rFonts w:cs="Arial"/>
                <w:noProof/>
                <w:sz w:val="22"/>
                <w:szCs w:val="22"/>
              </w:rPr>
              <w:t>Total PE from New and Modified Units</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0</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0</w:t>
            </w:r>
          </w:p>
        </w:tc>
        <w:tc>
          <w:tcPr>
            <w:tcW w:w="827"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0</w:t>
            </w:r>
          </w:p>
        </w:tc>
        <w:tc>
          <w:tcPr>
            <w:tcW w:w="70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0</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0</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0</w:t>
            </w:r>
          </w:p>
        </w:tc>
        <w:tc>
          <w:tcPr>
            <w:tcW w:w="1260" w:type="dxa"/>
            <w:tcBorders>
              <w:top w:val="single" w:sz="12" w:space="0" w:color="auto"/>
              <w:left w:val="single" w:sz="4" w:space="0" w:color="auto"/>
              <w:bottom w:val="single" w:sz="4" w:space="0" w:color="auto"/>
              <w:right w:val="doub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0</w:t>
            </w:r>
          </w:p>
        </w:tc>
      </w:tr>
      <w:tr w:rsidR="00C679D5" w:rsidRPr="00563F16" w:rsidTr="00537396">
        <w:trPr>
          <w:trHeight w:val="359"/>
        </w:trPr>
        <w:tc>
          <w:tcPr>
            <w:tcW w:w="3420" w:type="dxa"/>
            <w:tcBorders>
              <w:top w:val="single" w:sz="4" w:space="0" w:color="auto"/>
              <w:left w:val="double" w:sz="4" w:space="0" w:color="auto"/>
              <w:bottom w:val="single" w:sz="12"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PSD Major Source threshold</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679D5" w:rsidRPr="00563F16" w:rsidRDefault="00C679D5" w:rsidP="00537396">
            <w:pPr>
              <w:jc w:val="both"/>
              <w:rPr>
                <w:rFonts w:cs="Arial"/>
                <w:noProof/>
                <w:sz w:val="22"/>
                <w:szCs w:val="22"/>
              </w:rPr>
            </w:pPr>
            <w:r w:rsidRPr="00563F16">
              <w:rPr>
                <w:rFonts w:cs="Arial"/>
                <w:noProof/>
                <w:sz w:val="22"/>
                <w:szCs w:val="22"/>
              </w:rPr>
              <w:t>250</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679D5" w:rsidRPr="00563F16" w:rsidRDefault="00C679D5" w:rsidP="00537396">
            <w:pPr>
              <w:jc w:val="both"/>
              <w:rPr>
                <w:rFonts w:cs="Arial"/>
                <w:noProof/>
                <w:sz w:val="22"/>
                <w:szCs w:val="22"/>
              </w:rPr>
            </w:pPr>
            <w:r w:rsidRPr="00563F16">
              <w:rPr>
                <w:rFonts w:cs="Arial"/>
                <w:noProof/>
                <w:sz w:val="22"/>
                <w:szCs w:val="22"/>
              </w:rPr>
              <w:t>250</w:t>
            </w:r>
          </w:p>
        </w:tc>
        <w:tc>
          <w:tcPr>
            <w:tcW w:w="827"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679D5" w:rsidRPr="00563F16" w:rsidRDefault="00C679D5" w:rsidP="00537396">
            <w:pPr>
              <w:jc w:val="both"/>
              <w:rPr>
                <w:rFonts w:cs="Arial"/>
                <w:noProof/>
                <w:sz w:val="22"/>
                <w:szCs w:val="22"/>
              </w:rPr>
            </w:pPr>
            <w:r w:rsidRPr="00563F16">
              <w:rPr>
                <w:rFonts w:cs="Arial"/>
                <w:noProof/>
                <w:sz w:val="22"/>
                <w:szCs w:val="22"/>
              </w:rPr>
              <w:t>250</w:t>
            </w:r>
          </w:p>
        </w:tc>
        <w:tc>
          <w:tcPr>
            <w:tcW w:w="70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679D5" w:rsidRPr="00563F16" w:rsidRDefault="00C679D5" w:rsidP="00537396">
            <w:pPr>
              <w:jc w:val="both"/>
              <w:rPr>
                <w:rFonts w:cs="Arial"/>
                <w:noProof/>
                <w:sz w:val="22"/>
                <w:szCs w:val="22"/>
              </w:rPr>
            </w:pPr>
            <w:r w:rsidRPr="00563F16">
              <w:rPr>
                <w:rFonts w:cs="Arial"/>
                <w:noProof/>
                <w:sz w:val="22"/>
                <w:szCs w:val="22"/>
              </w:rPr>
              <w:t>250</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679D5" w:rsidRPr="00563F16" w:rsidRDefault="00C679D5" w:rsidP="00537396">
            <w:pPr>
              <w:jc w:val="both"/>
              <w:rPr>
                <w:rFonts w:cs="Arial"/>
                <w:noProof/>
                <w:sz w:val="22"/>
                <w:szCs w:val="22"/>
              </w:rPr>
            </w:pPr>
            <w:r w:rsidRPr="00563F16">
              <w:rPr>
                <w:rFonts w:cs="Arial"/>
                <w:noProof/>
                <w:sz w:val="22"/>
                <w:szCs w:val="22"/>
              </w:rPr>
              <w:t>250</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679D5" w:rsidRPr="00563F16" w:rsidRDefault="00C679D5" w:rsidP="00537396">
            <w:pPr>
              <w:jc w:val="both"/>
              <w:rPr>
                <w:rFonts w:cs="Arial"/>
                <w:noProof/>
                <w:sz w:val="22"/>
                <w:szCs w:val="22"/>
              </w:rPr>
            </w:pPr>
            <w:r w:rsidRPr="00563F16">
              <w:rPr>
                <w:rFonts w:cs="Arial"/>
                <w:noProof/>
                <w:sz w:val="22"/>
                <w:szCs w:val="22"/>
              </w:rPr>
              <w:t>250</w:t>
            </w:r>
          </w:p>
        </w:tc>
        <w:tc>
          <w:tcPr>
            <w:tcW w:w="1260" w:type="dxa"/>
            <w:tcBorders>
              <w:top w:val="single" w:sz="4" w:space="0" w:color="auto"/>
              <w:left w:val="single" w:sz="4" w:space="0" w:color="auto"/>
              <w:bottom w:val="single" w:sz="12" w:space="0" w:color="auto"/>
              <w:right w:val="doub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100,000</w:t>
            </w:r>
          </w:p>
        </w:tc>
      </w:tr>
      <w:tr w:rsidR="00C679D5" w:rsidRPr="00563F16" w:rsidTr="00537396">
        <w:trPr>
          <w:trHeight w:val="456"/>
        </w:trPr>
        <w:tc>
          <w:tcPr>
            <w:tcW w:w="3420" w:type="dxa"/>
            <w:tcBorders>
              <w:top w:val="single" w:sz="12" w:space="0" w:color="auto"/>
              <w:left w:val="double" w:sz="4" w:space="0" w:color="auto"/>
              <w:bottom w:val="doub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New PSD Major Source?</w:t>
            </w:r>
          </w:p>
        </w:tc>
        <w:tc>
          <w:tcPr>
            <w:tcW w:w="810" w:type="dxa"/>
            <w:tcBorders>
              <w:top w:val="single" w:sz="12" w:space="0" w:color="auto"/>
              <w:left w:val="single" w:sz="4" w:space="0" w:color="auto"/>
              <w:bottom w:val="doub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w:t>
            </w:r>
          </w:p>
        </w:tc>
        <w:tc>
          <w:tcPr>
            <w:tcW w:w="810" w:type="dxa"/>
            <w:tcBorders>
              <w:top w:val="single" w:sz="12" w:space="0" w:color="auto"/>
              <w:left w:val="single" w:sz="4" w:space="0" w:color="auto"/>
              <w:bottom w:val="doub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w:t>
            </w:r>
          </w:p>
        </w:tc>
        <w:tc>
          <w:tcPr>
            <w:tcW w:w="827" w:type="dxa"/>
            <w:tcBorders>
              <w:top w:val="single" w:sz="12" w:space="0" w:color="auto"/>
              <w:left w:val="single" w:sz="4" w:space="0" w:color="auto"/>
              <w:bottom w:val="doub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w:t>
            </w:r>
          </w:p>
        </w:tc>
        <w:tc>
          <w:tcPr>
            <w:tcW w:w="703" w:type="dxa"/>
            <w:tcBorders>
              <w:top w:val="single" w:sz="12" w:space="0" w:color="auto"/>
              <w:left w:val="single" w:sz="4" w:space="0" w:color="auto"/>
              <w:bottom w:val="doub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w:t>
            </w:r>
          </w:p>
        </w:tc>
        <w:tc>
          <w:tcPr>
            <w:tcW w:w="720" w:type="dxa"/>
            <w:tcBorders>
              <w:top w:val="single" w:sz="12" w:space="0" w:color="auto"/>
              <w:left w:val="single" w:sz="4" w:space="0" w:color="auto"/>
              <w:bottom w:val="doub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w:t>
            </w:r>
          </w:p>
        </w:tc>
        <w:tc>
          <w:tcPr>
            <w:tcW w:w="810" w:type="dxa"/>
            <w:tcBorders>
              <w:top w:val="single" w:sz="12" w:space="0" w:color="auto"/>
              <w:left w:val="single" w:sz="4" w:space="0" w:color="auto"/>
              <w:bottom w:val="double" w:sz="4" w:space="0" w:color="auto"/>
              <w:right w:val="sing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w:t>
            </w:r>
          </w:p>
        </w:tc>
        <w:tc>
          <w:tcPr>
            <w:tcW w:w="1260" w:type="dxa"/>
            <w:tcBorders>
              <w:top w:val="single" w:sz="12" w:space="0" w:color="auto"/>
              <w:left w:val="single" w:sz="4" w:space="0" w:color="auto"/>
              <w:bottom w:val="double" w:sz="4" w:space="0" w:color="auto"/>
              <w:right w:val="double" w:sz="4" w:space="0" w:color="auto"/>
            </w:tcBorders>
            <w:shd w:val="clear" w:color="auto" w:fill="auto"/>
            <w:vAlign w:val="center"/>
            <w:hideMark/>
          </w:tcPr>
          <w:p w:rsidR="00C679D5" w:rsidRPr="00E702D0" w:rsidRDefault="00C679D5" w:rsidP="00537396">
            <w:pPr>
              <w:jc w:val="both"/>
              <w:rPr>
                <w:rFonts w:cs="Arial"/>
                <w:noProof/>
                <w:color w:val="000000"/>
                <w:sz w:val="22"/>
                <w:szCs w:val="22"/>
              </w:rPr>
            </w:pPr>
            <w:r w:rsidRPr="00E702D0">
              <w:rPr>
                <w:rFonts w:cs="Arial"/>
                <w:noProof/>
                <w:color w:val="000000"/>
                <w:sz w:val="22"/>
                <w:szCs w:val="22"/>
              </w:rPr>
              <w:t>N</w:t>
            </w:r>
          </w:p>
        </w:tc>
      </w:tr>
    </w:tbl>
    <w:p w:rsidR="00C679D5" w:rsidRPr="00563F16" w:rsidRDefault="00C679D5" w:rsidP="00C679D5">
      <w:pPr>
        <w:suppressAutoHyphens/>
        <w:ind w:left="1080"/>
        <w:jc w:val="both"/>
        <w:rPr>
          <w:rFonts w:cs="Arial"/>
          <w:noProof/>
        </w:rPr>
      </w:pPr>
    </w:p>
    <w:p w:rsidR="00C679D5" w:rsidRPr="00563F16" w:rsidRDefault="00C679D5" w:rsidP="00C679D5">
      <w:pPr>
        <w:autoSpaceDE w:val="0"/>
        <w:autoSpaceDN w:val="0"/>
        <w:adjustRightInd w:val="0"/>
        <w:ind w:left="1440"/>
        <w:jc w:val="both"/>
        <w:rPr>
          <w:color w:val="000000"/>
        </w:rPr>
      </w:pPr>
      <w:r w:rsidRPr="00563F16">
        <w:rPr>
          <w:color w:val="000000"/>
        </w:rPr>
        <w:t>As shown in the table above, the project potential to emit, by itself, does not exceed any of the PSD major source thresholds.  Therefore</w:t>
      </w:r>
      <w:r>
        <w:rPr>
          <w:color w:val="000000"/>
        </w:rPr>
        <w:t>,</w:t>
      </w:r>
      <w:r w:rsidRPr="00563F16">
        <w:rPr>
          <w:color w:val="000000"/>
        </w:rPr>
        <w:t xml:space="preserve"> Rule 2410 is not applicable and no further discussion is required.</w:t>
      </w:r>
    </w:p>
    <w:p w:rsidR="00C679D5" w:rsidRPr="00563F16" w:rsidRDefault="00C679D5" w:rsidP="00563F16">
      <w:pPr>
        <w:tabs>
          <w:tab w:val="left" w:pos="1080"/>
        </w:tabs>
        <w:autoSpaceDE w:val="0"/>
        <w:autoSpaceDN w:val="0"/>
        <w:adjustRightInd w:val="0"/>
        <w:ind w:left="720"/>
        <w:rPr>
          <w:b/>
          <w:bCs/>
          <w:color w:val="000000"/>
        </w:rPr>
      </w:pPr>
    </w:p>
    <w:p w:rsidR="00563F16" w:rsidRPr="005E75CC" w:rsidRDefault="00C679D5" w:rsidP="005E75CC">
      <w:pPr>
        <w:autoSpaceDE w:val="0"/>
        <w:autoSpaceDN w:val="0"/>
        <w:adjustRightInd w:val="0"/>
        <w:ind w:left="864" w:firstLine="216"/>
        <w:rPr>
          <w:b/>
          <w:bCs/>
          <w:color w:val="000000"/>
        </w:rPr>
      </w:pPr>
      <w:r>
        <w:rPr>
          <w:b/>
          <w:bCs/>
          <w:color w:val="000000"/>
        </w:rPr>
        <w:t>10</w:t>
      </w:r>
      <w:r w:rsidR="005E75CC">
        <w:rPr>
          <w:b/>
          <w:bCs/>
          <w:color w:val="000000"/>
        </w:rPr>
        <w:t>.</w:t>
      </w:r>
      <w:r w:rsidR="005E75CC">
        <w:rPr>
          <w:b/>
          <w:bCs/>
          <w:color w:val="000000"/>
        </w:rPr>
        <w:tab/>
      </w:r>
      <w:r w:rsidR="00563F16" w:rsidRPr="005E75CC">
        <w:rPr>
          <w:b/>
          <w:bCs/>
          <w:color w:val="000000"/>
        </w:rPr>
        <w:t>Quarterly Net Emissions Change (QNEC)</w:t>
      </w:r>
    </w:p>
    <w:p w:rsidR="00563F16" w:rsidRPr="00563F16" w:rsidRDefault="00563F16" w:rsidP="00563F16">
      <w:pPr>
        <w:autoSpaceDE w:val="0"/>
        <w:autoSpaceDN w:val="0"/>
        <w:adjustRightInd w:val="0"/>
        <w:ind w:left="720"/>
        <w:rPr>
          <w:bCs/>
          <w:color w:val="000000"/>
        </w:rPr>
      </w:pPr>
    </w:p>
    <w:p w:rsidR="00563F16" w:rsidRPr="00563F16" w:rsidRDefault="00563F16" w:rsidP="00E31669">
      <w:pPr>
        <w:autoSpaceDE w:val="0"/>
        <w:autoSpaceDN w:val="0"/>
        <w:adjustRightInd w:val="0"/>
        <w:ind w:left="1440"/>
        <w:jc w:val="both"/>
        <w:rPr>
          <w:color w:val="000000"/>
        </w:rPr>
      </w:pPr>
      <w:r w:rsidRPr="00563F16">
        <w:rPr>
          <w:color w:val="000000"/>
        </w:rPr>
        <w:t>The QNEC is calculated solely to establish emissions that are used to complete the District’s PAS emissions profile screen.  Detailed QNEC calculations are included in Appendix B.</w:t>
      </w:r>
    </w:p>
    <w:p w:rsidR="00B6069B" w:rsidRPr="007009EE" w:rsidRDefault="00B6069B" w:rsidP="007009EE">
      <w:pPr>
        <w:autoSpaceDE w:val="0"/>
        <w:autoSpaceDN w:val="0"/>
        <w:adjustRightInd w:val="0"/>
        <w:ind w:left="1440"/>
        <w:jc w:val="both"/>
        <w:rPr>
          <w:color w:val="000000"/>
        </w:rPr>
      </w:pPr>
    </w:p>
    <w:p w:rsidR="00FD6FB5" w:rsidRDefault="00FD6FB5">
      <w:pPr>
        <w:pStyle w:val="Heading4"/>
      </w:pPr>
      <w:r>
        <w:t>VIII.</w:t>
      </w:r>
      <w:r>
        <w:tab/>
        <w:t>Compliance</w:t>
      </w:r>
    </w:p>
    <w:p w:rsidR="00FD6FB5" w:rsidRDefault="00FD6FB5">
      <w:pPr>
        <w:suppressAutoHyphens/>
        <w:jc w:val="both"/>
        <w:rPr>
          <w:b/>
          <w:bCs/>
          <w:spacing w:val="-3"/>
        </w:rPr>
      </w:pPr>
      <w:r>
        <w:rPr>
          <w:spacing w:val="-3"/>
        </w:rPr>
        <w:tab/>
      </w:r>
    </w:p>
    <w:p w:rsidR="00FD6FB5" w:rsidRDefault="00FD6FB5">
      <w:pPr>
        <w:suppressAutoHyphens/>
        <w:jc w:val="both"/>
        <w:rPr>
          <w:b/>
          <w:spacing w:val="-3"/>
        </w:rPr>
      </w:pPr>
      <w:r>
        <w:rPr>
          <w:b/>
          <w:spacing w:val="-3"/>
        </w:rPr>
        <w:t>Rule 2201 - New and Modified Stationary Source Review Rule</w:t>
      </w:r>
    </w:p>
    <w:p w:rsidR="00FD6FB5" w:rsidRDefault="00FD6FB5">
      <w:pPr>
        <w:suppressAutoHyphens/>
        <w:jc w:val="both"/>
        <w:rPr>
          <w:b/>
          <w:spacing w:val="-3"/>
        </w:rPr>
      </w:pPr>
    </w:p>
    <w:p w:rsidR="00FD6FB5" w:rsidRDefault="00FD6FB5">
      <w:pPr>
        <w:numPr>
          <w:ilvl w:val="0"/>
          <w:numId w:val="22"/>
        </w:numPr>
        <w:tabs>
          <w:tab w:val="clear" w:pos="810"/>
          <w:tab w:val="left" w:pos="900"/>
        </w:tabs>
        <w:suppressAutoHyphens/>
        <w:ind w:left="900"/>
        <w:jc w:val="both"/>
        <w:rPr>
          <w:b/>
          <w:spacing w:val="-3"/>
        </w:rPr>
      </w:pPr>
      <w:r>
        <w:rPr>
          <w:b/>
          <w:spacing w:val="-3"/>
        </w:rPr>
        <w:t>BACT</w:t>
      </w:r>
    </w:p>
    <w:p w:rsidR="00FD6FB5" w:rsidRDefault="00FD6FB5">
      <w:pPr>
        <w:suppressAutoHyphens/>
        <w:ind w:left="450"/>
        <w:jc w:val="both"/>
        <w:rPr>
          <w:b/>
          <w:spacing w:val="-3"/>
        </w:rPr>
      </w:pPr>
    </w:p>
    <w:p w:rsidR="00FD6FB5" w:rsidRDefault="00FD6FB5">
      <w:pPr>
        <w:suppressAutoHyphens/>
        <w:ind w:left="1260" w:hanging="450"/>
        <w:jc w:val="both"/>
        <w:rPr>
          <w:b/>
          <w:spacing w:val="-3"/>
        </w:rPr>
      </w:pPr>
      <w:r>
        <w:rPr>
          <w:b/>
          <w:spacing w:val="-3"/>
        </w:rPr>
        <w:t>1.</w:t>
      </w:r>
      <w:r>
        <w:rPr>
          <w:b/>
          <w:spacing w:val="-3"/>
        </w:rPr>
        <w:tab/>
      </w:r>
      <w:r>
        <w:rPr>
          <w:b/>
          <w:spacing w:val="-3"/>
          <w:u w:val="single"/>
        </w:rPr>
        <w:t>BACT Applicability</w:t>
      </w:r>
    </w:p>
    <w:p w:rsidR="00FD6FB5" w:rsidRDefault="00FD6FB5">
      <w:pPr>
        <w:suppressAutoHyphens/>
        <w:ind w:left="720"/>
        <w:jc w:val="both"/>
        <w:rPr>
          <w:b/>
          <w:spacing w:val="-3"/>
        </w:rPr>
      </w:pPr>
    </w:p>
    <w:p w:rsidR="00FD6FB5" w:rsidRDefault="00FD6FB5">
      <w:pPr>
        <w:pStyle w:val="BodyTextIndent"/>
        <w:suppressAutoHyphens w:val="0"/>
        <w:ind w:left="864"/>
      </w:pPr>
      <w:r>
        <w:t xml:space="preserve">BACT requirements are triggered on a pollutant-by-pollutant basis and on an emissions unit-by-emissions unit basis for the following*:  </w:t>
      </w:r>
    </w:p>
    <w:p w:rsidR="00281BDE" w:rsidRDefault="00281BDE">
      <w:pPr>
        <w:pStyle w:val="BodyTextIndent"/>
        <w:suppressAutoHyphens w:val="0"/>
        <w:ind w:left="864"/>
      </w:pPr>
    </w:p>
    <w:p w:rsidR="00FD6FB5" w:rsidRDefault="00FD6FB5">
      <w:pPr>
        <w:pStyle w:val="BodyTextIndent"/>
        <w:tabs>
          <w:tab w:val="left" w:pos="1440"/>
        </w:tabs>
        <w:suppressAutoHyphens w:val="0"/>
        <w:ind w:left="1440" w:hanging="360"/>
      </w:pPr>
      <w:r>
        <w:t>a)</w:t>
      </w:r>
      <w:r>
        <w:tab/>
        <w:t>Any new emissions unit with a potential to emit exceeding two pounds per day,</w:t>
      </w:r>
    </w:p>
    <w:p w:rsidR="00FD6FB5" w:rsidRDefault="00FD6FB5">
      <w:pPr>
        <w:tabs>
          <w:tab w:val="left" w:pos="1440"/>
        </w:tabs>
        <w:ind w:left="1440" w:hanging="360"/>
        <w:jc w:val="both"/>
        <w:rPr>
          <w:spacing w:val="-3"/>
        </w:rPr>
      </w:pPr>
      <w:r>
        <w:rPr>
          <w:spacing w:val="-3"/>
        </w:rPr>
        <w:lastRenderedPageBreak/>
        <w:t>b)</w:t>
      </w:r>
      <w:r>
        <w:rPr>
          <w:spacing w:val="-3"/>
        </w:rPr>
        <w:tab/>
        <w:t>The relocation from one Stationary Source to another of an existing emissions unit with a potential to emit exceeding two pounds per day, and/or</w:t>
      </w:r>
    </w:p>
    <w:p w:rsidR="00FD6FB5" w:rsidRDefault="00FD6FB5">
      <w:pPr>
        <w:tabs>
          <w:tab w:val="left" w:pos="1440"/>
        </w:tabs>
        <w:ind w:left="1440" w:hanging="360"/>
        <w:jc w:val="both"/>
        <w:rPr>
          <w:spacing w:val="-3"/>
        </w:rPr>
      </w:pPr>
      <w:r>
        <w:rPr>
          <w:spacing w:val="-3"/>
        </w:rPr>
        <w:t>c)</w:t>
      </w:r>
      <w:r>
        <w:rPr>
          <w:spacing w:val="-3"/>
        </w:rPr>
        <w:tab/>
        <w:t>Modifications to an existing emissions unit with a valid Permit to Operate resulting in an AIPE exceeding two pounds per day.</w:t>
      </w:r>
    </w:p>
    <w:p w:rsidR="00FD6FB5" w:rsidRDefault="00FD6FB5">
      <w:pPr>
        <w:tabs>
          <w:tab w:val="left" w:pos="1440"/>
        </w:tabs>
        <w:ind w:left="1440" w:hanging="360"/>
        <w:jc w:val="both"/>
        <w:rPr>
          <w:spacing w:val="-3"/>
        </w:rPr>
      </w:pPr>
      <w:r>
        <w:rPr>
          <w:spacing w:val="-3"/>
        </w:rPr>
        <w:t>d)</w:t>
      </w:r>
      <w:r>
        <w:rPr>
          <w:spacing w:val="-3"/>
        </w:rPr>
        <w:tab/>
      </w:r>
      <w:r w:rsidR="00281BDE" w:rsidRPr="00281BDE">
        <w:rPr>
          <w:spacing w:val="-3"/>
        </w:rPr>
        <w:t>Any new or modified emissions unit, in a stationary source project, which results in a Major Modification.</w:t>
      </w:r>
    </w:p>
    <w:p w:rsidR="00FD6FB5" w:rsidRDefault="00FD6FB5">
      <w:pPr>
        <w:ind w:left="1080"/>
        <w:jc w:val="both"/>
        <w:rPr>
          <w:spacing w:val="-3"/>
        </w:rPr>
      </w:pPr>
    </w:p>
    <w:p w:rsidR="00FD6FB5" w:rsidRDefault="00FD6FB5">
      <w:pPr>
        <w:pStyle w:val="BodyTextIndent2"/>
        <w:ind w:left="1080"/>
        <w:rPr>
          <w:sz w:val="20"/>
        </w:rPr>
      </w:pPr>
      <w:r>
        <w:rPr>
          <w:sz w:val="20"/>
        </w:rPr>
        <w:t>*Except for CO emissions from a new or modified emissions unit at a Stationary Source with an SSPE2 of less than 200,000 pounds per year of CO.</w:t>
      </w:r>
    </w:p>
    <w:p w:rsidR="00FD6FB5" w:rsidRDefault="00FD6FB5">
      <w:pPr>
        <w:suppressAutoHyphens/>
        <w:ind w:left="810" w:hanging="810"/>
        <w:jc w:val="both"/>
        <w:rPr>
          <w:spacing w:val="-3"/>
        </w:rPr>
      </w:pPr>
    </w:p>
    <w:p w:rsidR="00FD6FB5" w:rsidRDefault="00FD6FB5">
      <w:pPr>
        <w:suppressAutoHyphens/>
        <w:ind w:left="810"/>
        <w:jc w:val="both"/>
        <w:rPr>
          <w:iCs/>
          <w:spacing w:val="-3"/>
        </w:rPr>
      </w:pPr>
      <w:r>
        <w:rPr>
          <w:spacing w:val="-3"/>
        </w:rPr>
        <w:t xml:space="preserve">The applicant is proposing to install a new emissions unit with a PE of </w:t>
      </w:r>
      <w:r>
        <w:rPr>
          <w:color w:val="0000FF"/>
          <w:spacing w:val="-3"/>
        </w:rPr>
        <w:t>[  ]</w:t>
      </w:r>
      <w:r>
        <w:rPr>
          <w:spacing w:val="-3"/>
        </w:rPr>
        <w:t xml:space="preserve"> lb/day for VOC as calculated in section VII.C.2.  Since the daily VOC emissions are </w:t>
      </w:r>
      <w:r>
        <w:rPr>
          <w:color w:val="0000FF"/>
          <w:spacing w:val="-3"/>
        </w:rPr>
        <w:t>[greater</w:t>
      </w:r>
      <w:r w:rsidR="00281BDE">
        <w:rPr>
          <w:color w:val="0000FF"/>
          <w:spacing w:val="-3"/>
        </w:rPr>
        <w:t>/</w:t>
      </w:r>
      <w:r>
        <w:rPr>
          <w:color w:val="0000FF"/>
          <w:spacing w:val="-3"/>
        </w:rPr>
        <w:t>less]</w:t>
      </w:r>
      <w:r>
        <w:rPr>
          <w:spacing w:val="-3"/>
        </w:rPr>
        <w:t xml:space="preserve"> than 2.0 lbs/day, BACT </w:t>
      </w:r>
      <w:r>
        <w:rPr>
          <w:color w:val="0000FF"/>
          <w:spacing w:val="-3"/>
        </w:rPr>
        <w:t>[will</w:t>
      </w:r>
      <w:r w:rsidR="00281BDE">
        <w:rPr>
          <w:color w:val="0000FF"/>
          <w:spacing w:val="-3"/>
        </w:rPr>
        <w:t>/</w:t>
      </w:r>
      <w:r>
        <w:rPr>
          <w:color w:val="0000FF"/>
          <w:spacing w:val="-3"/>
        </w:rPr>
        <w:t>will not]</w:t>
      </w:r>
      <w:r>
        <w:rPr>
          <w:spacing w:val="-3"/>
        </w:rPr>
        <w:t xml:space="preserve"> be triggered.  </w:t>
      </w:r>
      <w:r w:rsidR="000A1AC6" w:rsidRPr="006F6EB9">
        <w:rPr>
          <w:color w:val="0000FF"/>
          <w:spacing w:val="-3"/>
        </w:rPr>
        <w:t>[</w:t>
      </w:r>
      <w:r w:rsidRPr="006F6EB9">
        <w:rPr>
          <w:color w:val="0000FF"/>
          <w:spacing w:val="-3"/>
        </w:rPr>
        <w:t>The daily emissions for [</w:t>
      </w:r>
      <w:r w:rsidR="00281BDE" w:rsidRPr="006F6EB9">
        <w:rPr>
          <w:color w:val="0000FF"/>
          <w:spacing w:val="-3"/>
        </w:rPr>
        <w:t>pollutant</w:t>
      </w:r>
      <w:r w:rsidR="00EE43CC">
        <w:rPr>
          <w:color w:val="0000FF"/>
          <w:spacing w:val="-3"/>
        </w:rPr>
        <w:t>(s)</w:t>
      </w:r>
      <w:r w:rsidRPr="006F6EB9">
        <w:rPr>
          <w:color w:val="0000FF"/>
          <w:spacing w:val="-3"/>
        </w:rPr>
        <w:t xml:space="preserve">] </w:t>
      </w:r>
      <w:r w:rsidR="000A1AC6" w:rsidRPr="006F6EB9">
        <w:rPr>
          <w:color w:val="0000FF"/>
          <w:spacing w:val="-3"/>
        </w:rPr>
        <w:t>is/are</w:t>
      </w:r>
      <w:r w:rsidRPr="006F6EB9">
        <w:rPr>
          <w:color w:val="0000FF"/>
          <w:spacing w:val="-3"/>
        </w:rPr>
        <w:t xml:space="preserve"> also above 2.0 lb/day.  </w:t>
      </w:r>
      <w:r w:rsidRPr="006F6EB9">
        <w:rPr>
          <w:iCs/>
          <w:color w:val="0000FF"/>
          <w:spacing w:val="-3"/>
        </w:rPr>
        <w:t>Therefore, BACT will be triggered for [</w:t>
      </w:r>
      <w:r w:rsidR="00281BDE" w:rsidRPr="006F6EB9">
        <w:rPr>
          <w:iCs/>
          <w:color w:val="0000FF"/>
          <w:spacing w:val="-3"/>
        </w:rPr>
        <w:t>pollutants</w:t>
      </w:r>
      <w:r w:rsidRPr="006F6EB9">
        <w:rPr>
          <w:color w:val="0000FF"/>
          <w:spacing w:val="-3"/>
        </w:rPr>
        <w:t>]</w:t>
      </w:r>
      <w:r w:rsidR="006F6EB9" w:rsidRPr="006F6EB9">
        <w:rPr>
          <w:color w:val="0000FF"/>
          <w:spacing w:val="-3"/>
        </w:rPr>
        <w:t>]</w:t>
      </w:r>
      <w:r>
        <w:rPr>
          <w:spacing w:val="-3"/>
        </w:rPr>
        <w:t>.</w:t>
      </w:r>
    </w:p>
    <w:p w:rsidR="00FD6FB5" w:rsidRDefault="00FD6FB5">
      <w:pPr>
        <w:suppressAutoHyphens/>
        <w:ind w:left="810" w:hanging="810"/>
        <w:jc w:val="both"/>
        <w:rPr>
          <w:i/>
          <w:color w:val="FF0000"/>
          <w:spacing w:val="-3"/>
        </w:rPr>
      </w:pPr>
    </w:p>
    <w:p w:rsidR="00FD6FB5" w:rsidRDefault="00FD6FB5">
      <w:pPr>
        <w:suppressAutoHyphens/>
        <w:ind w:left="810" w:hanging="810"/>
        <w:jc w:val="both"/>
        <w:rPr>
          <w:i/>
          <w:color w:val="FF0000"/>
          <w:spacing w:val="-3"/>
        </w:rPr>
      </w:pPr>
      <w:r>
        <w:rPr>
          <w:i/>
          <w:color w:val="FF0000"/>
          <w:spacing w:val="-3"/>
        </w:rPr>
        <w:t>OR</w:t>
      </w:r>
    </w:p>
    <w:p w:rsidR="00FD6FB5" w:rsidRDefault="00FD6FB5">
      <w:pPr>
        <w:suppressAutoHyphens/>
        <w:ind w:left="810" w:hanging="810"/>
        <w:jc w:val="both"/>
        <w:rPr>
          <w:i/>
          <w:color w:val="FF0000"/>
          <w:spacing w:val="-3"/>
        </w:rPr>
      </w:pPr>
    </w:p>
    <w:p w:rsidR="00FD6FB5" w:rsidRDefault="00FD6FB5">
      <w:pPr>
        <w:suppressAutoHyphens/>
        <w:ind w:left="810"/>
        <w:jc w:val="both"/>
        <w:rPr>
          <w:iCs/>
          <w:spacing w:val="-3"/>
        </w:rPr>
      </w:pPr>
      <w:r>
        <w:rPr>
          <w:spacing w:val="-3"/>
        </w:rPr>
        <w:t xml:space="preserve">The applicant is proposing to modify its existing emissions unit with an AIPE of </w:t>
      </w:r>
      <w:r>
        <w:rPr>
          <w:color w:val="0000FF"/>
          <w:spacing w:val="-3"/>
        </w:rPr>
        <w:t>[  ]</w:t>
      </w:r>
      <w:r>
        <w:rPr>
          <w:spacing w:val="-3"/>
        </w:rPr>
        <w:t xml:space="preserve"> lb/day for VOC as calculated in the following section.  Since the daily VOC emissions are </w:t>
      </w:r>
      <w:r>
        <w:rPr>
          <w:color w:val="0000FF"/>
          <w:spacing w:val="-3"/>
        </w:rPr>
        <w:t>[greater</w:t>
      </w:r>
      <w:r w:rsidR="00281BDE">
        <w:rPr>
          <w:color w:val="0000FF"/>
          <w:spacing w:val="-3"/>
        </w:rPr>
        <w:t>/</w:t>
      </w:r>
      <w:r>
        <w:rPr>
          <w:color w:val="0000FF"/>
          <w:spacing w:val="-3"/>
        </w:rPr>
        <w:t>less]</w:t>
      </w:r>
      <w:r>
        <w:rPr>
          <w:spacing w:val="-3"/>
        </w:rPr>
        <w:t xml:space="preserve"> than 2.0 lbs/day, BACT </w:t>
      </w:r>
      <w:r>
        <w:rPr>
          <w:color w:val="0000FF"/>
          <w:spacing w:val="-3"/>
        </w:rPr>
        <w:t>[will</w:t>
      </w:r>
      <w:r w:rsidR="00281BDE">
        <w:rPr>
          <w:color w:val="0000FF"/>
          <w:spacing w:val="-3"/>
        </w:rPr>
        <w:t>/</w:t>
      </w:r>
      <w:r>
        <w:rPr>
          <w:color w:val="0000FF"/>
          <w:spacing w:val="-3"/>
        </w:rPr>
        <w:t>will not]</w:t>
      </w:r>
      <w:r>
        <w:rPr>
          <w:spacing w:val="-3"/>
        </w:rPr>
        <w:t xml:space="preserve"> be triggered. </w:t>
      </w:r>
      <w:r w:rsidRPr="006F6EB9">
        <w:rPr>
          <w:color w:val="0000FF"/>
          <w:spacing w:val="-3"/>
        </w:rPr>
        <w:t xml:space="preserve"> </w:t>
      </w:r>
      <w:r w:rsidR="006F6EB9" w:rsidRPr="006F6EB9">
        <w:rPr>
          <w:color w:val="0000FF"/>
          <w:spacing w:val="-3"/>
        </w:rPr>
        <w:t>[</w:t>
      </w:r>
      <w:r w:rsidRPr="006F6EB9">
        <w:rPr>
          <w:color w:val="0000FF"/>
          <w:spacing w:val="-3"/>
        </w:rPr>
        <w:t>The daily AIPE for [</w:t>
      </w:r>
      <w:r w:rsidR="00281BDE" w:rsidRPr="006F6EB9">
        <w:rPr>
          <w:color w:val="0000FF"/>
          <w:spacing w:val="-3"/>
        </w:rPr>
        <w:t>pollutants</w:t>
      </w:r>
      <w:r w:rsidRPr="006F6EB9">
        <w:rPr>
          <w:color w:val="0000FF"/>
          <w:spacing w:val="-3"/>
        </w:rPr>
        <w:t xml:space="preserve">] are also above 2.0 lb/day.  </w:t>
      </w:r>
      <w:r w:rsidRPr="006F6EB9">
        <w:rPr>
          <w:iCs/>
          <w:color w:val="0000FF"/>
          <w:spacing w:val="-3"/>
        </w:rPr>
        <w:t>Therefore, BACT will</w:t>
      </w:r>
      <w:r w:rsidR="006F6EB9">
        <w:rPr>
          <w:iCs/>
          <w:color w:val="0000FF"/>
          <w:spacing w:val="-3"/>
        </w:rPr>
        <w:t xml:space="preserve"> also</w:t>
      </w:r>
      <w:r w:rsidRPr="006F6EB9">
        <w:rPr>
          <w:iCs/>
          <w:color w:val="0000FF"/>
          <w:spacing w:val="-3"/>
        </w:rPr>
        <w:t xml:space="preserve"> be triggered for [</w:t>
      </w:r>
      <w:r w:rsidR="00281BDE" w:rsidRPr="006F6EB9">
        <w:rPr>
          <w:iCs/>
          <w:color w:val="0000FF"/>
          <w:spacing w:val="-3"/>
        </w:rPr>
        <w:t>pollutants</w:t>
      </w:r>
      <w:r w:rsidRPr="006F6EB9">
        <w:rPr>
          <w:color w:val="0000FF"/>
          <w:spacing w:val="-3"/>
        </w:rPr>
        <w:t>]</w:t>
      </w:r>
      <w:r w:rsidR="006F6EB9" w:rsidRPr="006F6EB9">
        <w:rPr>
          <w:color w:val="0000FF"/>
          <w:spacing w:val="-3"/>
        </w:rPr>
        <w:t>]</w:t>
      </w:r>
      <w:r>
        <w:rPr>
          <w:spacing w:val="-3"/>
        </w:rPr>
        <w:t>.</w:t>
      </w:r>
    </w:p>
    <w:p w:rsidR="00FD6FB5" w:rsidRDefault="00FD6FB5">
      <w:pPr>
        <w:suppressAutoHyphens/>
        <w:ind w:left="810"/>
        <w:jc w:val="both"/>
        <w:rPr>
          <w:spacing w:val="-3"/>
        </w:rPr>
      </w:pPr>
    </w:p>
    <w:p w:rsidR="00FD6FB5" w:rsidRDefault="00FD6FB5">
      <w:pPr>
        <w:suppressAutoHyphens/>
        <w:ind w:left="1260" w:hanging="450"/>
        <w:jc w:val="both"/>
        <w:rPr>
          <w:b/>
          <w:spacing w:val="-3"/>
        </w:rPr>
      </w:pPr>
      <w:r>
        <w:rPr>
          <w:b/>
          <w:spacing w:val="-3"/>
          <w:u w:val="single"/>
        </w:rPr>
        <w:t>Adjusted Increase in Permitted Emissions (AIPE)</w:t>
      </w:r>
    </w:p>
    <w:p w:rsidR="00FD6FB5" w:rsidRDefault="00FD6FB5">
      <w:pPr>
        <w:suppressAutoHyphens/>
        <w:ind w:left="1440"/>
        <w:jc w:val="both"/>
        <w:rPr>
          <w:spacing w:val="-3"/>
        </w:rPr>
      </w:pPr>
    </w:p>
    <w:p w:rsidR="00FD6FB5" w:rsidRDefault="00FD6FB5">
      <w:pPr>
        <w:ind w:left="1440"/>
        <w:rPr>
          <w:snapToGrid w:val="0"/>
        </w:rPr>
      </w:pPr>
      <w:r>
        <w:rPr>
          <w:snapToGrid w:val="0"/>
        </w:rPr>
        <w:t>AIPE = PE2 – HAPE where,</w:t>
      </w:r>
    </w:p>
    <w:p w:rsidR="00FD6FB5" w:rsidRDefault="00FD6FB5">
      <w:pPr>
        <w:ind w:left="1440"/>
        <w:rPr>
          <w:snapToGrid w:val="0"/>
        </w:rPr>
      </w:pPr>
    </w:p>
    <w:p w:rsidR="00FD6FB5" w:rsidRDefault="00FD6FB5">
      <w:pPr>
        <w:ind w:left="720" w:firstLine="720"/>
        <w:jc w:val="both"/>
        <w:rPr>
          <w:snapToGrid w:val="0"/>
        </w:rPr>
      </w:pPr>
      <w:r>
        <w:rPr>
          <w:snapToGrid w:val="0"/>
        </w:rPr>
        <w:t>AIPE =</w:t>
      </w:r>
      <w:r>
        <w:rPr>
          <w:snapToGrid w:val="0"/>
        </w:rPr>
        <w:tab/>
        <w:t>Adjusted Increase in Permitted Emissions, lb/day.</w:t>
      </w:r>
    </w:p>
    <w:p w:rsidR="00FD6FB5" w:rsidRDefault="00FD6FB5">
      <w:pPr>
        <w:ind w:left="1440"/>
        <w:jc w:val="both"/>
        <w:rPr>
          <w:snapToGrid w:val="0"/>
        </w:rPr>
      </w:pPr>
      <w:r>
        <w:rPr>
          <w:snapToGrid w:val="0"/>
        </w:rPr>
        <w:t xml:space="preserve">PE2 = </w:t>
      </w:r>
      <w:r>
        <w:rPr>
          <w:snapToGrid w:val="0"/>
        </w:rPr>
        <w:tab/>
        <w:t>the emission unit’s post project Potential to Emit, lb/day.</w:t>
      </w:r>
    </w:p>
    <w:p w:rsidR="00FD6FB5" w:rsidRDefault="00FD6FB5">
      <w:pPr>
        <w:ind w:left="720" w:firstLine="720"/>
        <w:jc w:val="both"/>
        <w:rPr>
          <w:snapToGrid w:val="0"/>
        </w:rPr>
      </w:pPr>
      <w:r>
        <w:rPr>
          <w:snapToGrid w:val="0"/>
        </w:rPr>
        <w:t xml:space="preserve">HAPE = </w:t>
      </w:r>
      <w:r>
        <w:rPr>
          <w:snapToGrid w:val="0"/>
        </w:rPr>
        <w:tab/>
        <w:t xml:space="preserve">the emission unit’s Historically Adjusted Potential to </w:t>
      </w:r>
    </w:p>
    <w:p w:rsidR="00FD6FB5" w:rsidRDefault="00FD6FB5">
      <w:pPr>
        <w:ind w:left="2880"/>
        <w:jc w:val="both"/>
        <w:rPr>
          <w:snapToGrid w:val="0"/>
        </w:rPr>
      </w:pPr>
      <w:r>
        <w:rPr>
          <w:snapToGrid w:val="0"/>
        </w:rPr>
        <w:t>Emit, lb/day.</w:t>
      </w:r>
    </w:p>
    <w:p w:rsidR="00FD6FB5" w:rsidRDefault="00FD6FB5">
      <w:pPr>
        <w:ind w:left="1440"/>
        <w:jc w:val="both"/>
        <w:rPr>
          <w:snapToGrid w:val="0"/>
        </w:rPr>
      </w:pPr>
    </w:p>
    <w:p w:rsidR="00FD6FB5" w:rsidRDefault="00FD6FB5">
      <w:pPr>
        <w:pStyle w:val="BodyTextIndent2"/>
        <w:jc w:val="both"/>
      </w:pPr>
      <w:r>
        <w:t>Historically Adjusted Potential to Emit (HAPE) Calculations:</w:t>
      </w:r>
    </w:p>
    <w:p w:rsidR="00FD6FB5" w:rsidRDefault="00FD6FB5">
      <w:pPr>
        <w:pStyle w:val="BodyTextIndent2"/>
        <w:jc w:val="both"/>
      </w:pPr>
    </w:p>
    <w:p w:rsidR="00FD6FB5" w:rsidRDefault="00FD6FB5">
      <w:pPr>
        <w:pStyle w:val="BodyTextIndent2"/>
        <w:jc w:val="both"/>
      </w:pPr>
      <w:r>
        <w:t>HAPE = PE1 x (EF2 / EF1) where,</w:t>
      </w:r>
    </w:p>
    <w:p w:rsidR="00FD6FB5" w:rsidRDefault="00FD6FB5">
      <w:pPr>
        <w:pStyle w:val="BodyTextIndent2"/>
        <w:jc w:val="both"/>
      </w:pPr>
    </w:p>
    <w:p w:rsidR="00FD6FB5" w:rsidRDefault="00FD6FB5">
      <w:pPr>
        <w:tabs>
          <w:tab w:val="left" w:pos="2340"/>
        </w:tabs>
        <w:ind w:left="2340" w:hanging="900"/>
        <w:jc w:val="both"/>
        <w:rPr>
          <w:snapToGrid w:val="0"/>
        </w:rPr>
      </w:pPr>
      <w:r>
        <w:rPr>
          <w:snapToGrid w:val="0"/>
        </w:rPr>
        <w:t xml:space="preserve">PE1 = </w:t>
      </w:r>
      <w:r w:rsidR="00623DEC">
        <w:rPr>
          <w:snapToGrid w:val="0"/>
        </w:rPr>
        <w:tab/>
      </w:r>
      <w:r>
        <w:rPr>
          <w:snapToGrid w:val="0"/>
        </w:rPr>
        <w:t>The emission unit’s Potential to Emit prior to modification or relocation.</w:t>
      </w:r>
    </w:p>
    <w:p w:rsidR="00FD6FB5" w:rsidRDefault="00FD6FB5">
      <w:pPr>
        <w:tabs>
          <w:tab w:val="left" w:pos="2340"/>
        </w:tabs>
        <w:ind w:left="2340" w:hanging="900"/>
        <w:jc w:val="both"/>
        <w:rPr>
          <w:snapToGrid w:val="0"/>
        </w:rPr>
      </w:pPr>
      <w:r>
        <w:rPr>
          <w:snapToGrid w:val="0"/>
        </w:rPr>
        <w:t xml:space="preserve">EF2 = </w:t>
      </w:r>
      <w:r>
        <w:rPr>
          <w:snapToGrid w:val="0"/>
        </w:rPr>
        <w:tab/>
        <w:t>The emission unit’s permitted emission factor for the pollutant after modification or relocation. If EF2 is greater than EF1 then EF2/EF1 shall be set to 1.</w:t>
      </w:r>
    </w:p>
    <w:p w:rsidR="00FD6FB5" w:rsidRDefault="00FD6FB5">
      <w:pPr>
        <w:ind w:left="2340" w:hanging="900"/>
        <w:jc w:val="both"/>
        <w:rPr>
          <w:snapToGrid w:val="0"/>
        </w:rPr>
      </w:pPr>
      <w:r>
        <w:rPr>
          <w:snapToGrid w:val="0"/>
        </w:rPr>
        <w:t xml:space="preserve">EF1 = </w:t>
      </w:r>
      <w:r w:rsidR="00623DEC">
        <w:rPr>
          <w:snapToGrid w:val="0"/>
        </w:rPr>
        <w:tab/>
      </w:r>
      <w:r>
        <w:rPr>
          <w:snapToGrid w:val="0"/>
        </w:rPr>
        <w:t>The emission unit’s permitted emission factor for the pollutant before the modification or relocation.</w:t>
      </w:r>
    </w:p>
    <w:p w:rsidR="00FD6FB5" w:rsidRDefault="00FD6FB5">
      <w:pPr>
        <w:ind w:left="2160"/>
        <w:jc w:val="both"/>
        <w:rPr>
          <w:snapToGrid w:val="0"/>
        </w:rPr>
      </w:pPr>
    </w:p>
    <w:p w:rsidR="00FD6FB5" w:rsidRDefault="00FD6FB5">
      <w:pPr>
        <w:ind w:left="1440"/>
        <w:jc w:val="both"/>
        <w:rPr>
          <w:snapToGrid w:val="0"/>
        </w:rPr>
      </w:pPr>
      <w:r>
        <w:rPr>
          <w:snapToGrid w:val="0"/>
        </w:rPr>
        <w:t xml:space="preserve">EF1 = </w:t>
      </w:r>
      <w:r>
        <w:rPr>
          <w:color w:val="0000FF"/>
          <w:spacing w:val="-3"/>
        </w:rPr>
        <w:t xml:space="preserve">[  ] </w:t>
      </w:r>
      <w:r>
        <w:rPr>
          <w:spacing w:val="-3"/>
        </w:rPr>
        <w:t xml:space="preserve">% </w:t>
      </w:r>
      <w:r>
        <w:rPr>
          <w:spacing w:val="-2"/>
          <w:sz w:val="20"/>
        </w:rPr>
        <w:t xml:space="preserve">(Taken from project # </w:t>
      </w:r>
      <w:r>
        <w:rPr>
          <w:color w:val="0000FF"/>
          <w:spacing w:val="-2"/>
          <w:sz w:val="20"/>
        </w:rPr>
        <w:t>[      ])</w:t>
      </w:r>
    </w:p>
    <w:p w:rsidR="00FD6FB5" w:rsidRDefault="00FD6FB5">
      <w:pPr>
        <w:ind w:left="720" w:firstLine="720"/>
        <w:jc w:val="both"/>
        <w:rPr>
          <w:snapToGrid w:val="0"/>
        </w:rPr>
      </w:pPr>
      <w:r>
        <w:rPr>
          <w:snapToGrid w:val="0"/>
        </w:rPr>
        <w:t xml:space="preserve">EF2 = </w:t>
      </w:r>
      <w:r>
        <w:rPr>
          <w:color w:val="0000FF"/>
          <w:spacing w:val="-3"/>
        </w:rPr>
        <w:t>[  ]</w:t>
      </w:r>
      <w:r>
        <w:rPr>
          <w:spacing w:val="-3"/>
        </w:rPr>
        <w:t xml:space="preserve"> % </w:t>
      </w:r>
      <w:r>
        <w:rPr>
          <w:spacing w:val="-2"/>
          <w:sz w:val="20"/>
        </w:rPr>
        <w:t>(As proposed by the applicant, 95% District BACT requirement)</w:t>
      </w:r>
    </w:p>
    <w:p w:rsidR="00FD6FB5" w:rsidRDefault="00FD6FB5">
      <w:pPr>
        <w:ind w:left="1440"/>
        <w:jc w:val="both"/>
        <w:rPr>
          <w:snapToGrid w:val="0"/>
        </w:rPr>
      </w:pPr>
    </w:p>
    <w:p w:rsidR="00FD6FB5" w:rsidRDefault="00FD6FB5">
      <w:pPr>
        <w:ind w:left="1440"/>
        <w:jc w:val="both"/>
      </w:pPr>
      <w:r>
        <w:rPr>
          <w:snapToGrid w:val="0"/>
        </w:rPr>
        <w:lastRenderedPageBreak/>
        <w:t xml:space="preserve">AIPE </w:t>
      </w:r>
      <w:r>
        <w:rPr>
          <w:spacing w:val="-3"/>
        </w:rPr>
        <w:t xml:space="preserve">(lb/day) </w:t>
      </w:r>
      <w:r>
        <w:rPr>
          <w:snapToGrid w:val="0"/>
        </w:rPr>
        <w:t xml:space="preserve">= PE2 </w:t>
      </w:r>
      <w:r>
        <w:rPr>
          <w:spacing w:val="-3"/>
        </w:rPr>
        <w:t xml:space="preserve">(lb/day) </w:t>
      </w:r>
      <w:r>
        <w:rPr>
          <w:snapToGrid w:val="0"/>
        </w:rPr>
        <w:t>– [</w:t>
      </w:r>
      <w:r>
        <w:t xml:space="preserve">PE1 </w:t>
      </w:r>
      <w:r>
        <w:rPr>
          <w:spacing w:val="-3"/>
        </w:rPr>
        <w:t xml:space="preserve">(lb/day) </w:t>
      </w:r>
      <w:r>
        <w:t>x (EF2 / EF1)]</w:t>
      </w:r>
    </w:p>
    <w:p w:rsidR="00FD6FB5" w:rsidRDefault="00281BDE">
      <w:pPr>
        <w:ind w:left="2160" w:firstLine="720"/>
        <w:jc w:val="both"/>
      </w:pPr>
      <w:r>
        <w:rPr>
          <w:snapToGrid w:val="0"/>
        </w:rPr>
        <w:t xml:space="preserve"> </w:t>
      </w:r>
      <w:r w:rsidR="00FD6FB5">
        <w:rPr>
          <w:snapToGrid w:val="0"/>
        </w:rPr>
        <w:t xml:space="preserve">= PE2 </w:t>
      </w:r>
      <w:r w:rsidR="00FD6FB5">
        <w:rPr>
          <w:spacing w:val="-3"/>
        </w:rPr>
        <w:t>(</w:t>
      </w:r>
      <w:r w:rsidR="008B2F73">
        <w:rPr>
          <w:spacing w:val="-3"/>
        </w:rPr>
        <w:t>lbs</w:t>
      </w:r>
      <w:r w:rsidR="00FD6FB5">
        <w:rPr>
          <w:spacing w:val="-3"/>
        </w:rPr>
        <w:t xml:space="preserve">/day) </w:t>
      </w:r>
      <w:r w:rsidR="00FD6FB5">
        <w:rPr>
          <w:snapToGrid w:val="0"/>
        </w:rPr>
        <w:t>– [</w:t>
      </w:r>
      <w:r w:rsidR="00FD6FB5">
        <w:t xml:space="preserve">PE1 </w:t>
      </w:r>
      <w:r w:rsidR="00FD6FB5">
        <w:rPr>
          <w:spacing w:val="-3"/>
        </w:rPr>
        <w:t>(</w:t>
      </w:r>
      <w:r w:rsidR="008B2F73">
        <w:rPr>
          <w:spacing w:val="-3"/>
        </w:rPr>
        <w:t>lbs</w:t>
      </w:r>
      <w:r w:rsidR="00FD6FB5">
        <w:rPr>
          <w:spacing w:val="-3"/>
        </w:rPr>
        <w:t xml:space="preserve">/day) </w:t>
      </w:r>
      <w:r w:rsidR="00FD6FB5">
        <w:t>x (</w:t>
      </w:r>
      <w:r w:rsidR="00FD6FB5">
        <w:rPr>
          <w:color w:val="0000FF"/>
        </w:rPr>
        <w:t>0.95 / 0.95</w:t>
      </w:r>
      <w:r w:rsidR="00FD6FB5">
        <w:t>)]</w:t>
      </w:r>
    </w:p>
    <w:p w:rsidR="00FD6FB5" w:rsidRDefault="00281BDE">
      <w:pPr>
        <w:ind w:left="2160" w:firstLine="720"/>
        <w:jc w:val="both"/>
      </w:pPr>
      <w:r>
        <w:rPr>
          <w:snapToGrid w:val="0"/>
        </w:rPr>
        <w:t xml:space="preserve"> </w:t>
      </w:r>
      <w:r w:rsidR="00FD6FB5">
        <w:rPr>
          <w:snapToGrid w:val="0"/>
        </w:rPr>
        <w:t xml:space="preserve">= PE2 </w:t>
      </w:r>
      <w:r w:rsidR="00FD6FB5">
        <w:rPr>
          <w:spacing w:val="-3"/>
        </w:rPr>
        <w:t>(</w:t>
      </w:r>
      <w:r w:rsidR="008B2F73">
        <w:rPr>
          <w:spacing w:val="-3"/>
        </w:rPr>
        <w:t>lbs</w:t>
      </w:r>
      <w:r w:rsidR="00FD6FB5">
        <w:rPr>
          <w:spacing w:val="-3"/>
        </w:rPr>
        <w:t xml:space="preserve">/day) </w:t>
      </w:r>
      <w:r w:rsidR="00FD6FB5">
        <w:rPr>
          <w:snapToGrid w:val="0"/>
        </w:rPr>
        <w:t>– [</w:t>
      </w:r>
      <w:r w:rsidR="00FD6FB5">
        <w:t xml:space="preserve">PE1 </w:t>
      </w:r>
      <w:r w:rsidR="00FD6FB5">
        <w:rPr>
          <w:spacing w:val="-3"/>
        </w:rPr>
        <w:t>(</w:t>
      </w:r>
      <w:r w:rsidR="008B2F73">
        <w:rPr>
          <w:spacing w:val="-3"/>
        </w:rPr>
        <w:t>lbs</w:t>
      </w:r>
      <w:r w:rsidR="00FD6FB5">
        <w:rPr>
          <w:spacing w:val="-3"/>
        </w:rPr>
        <w:t xml:space="preserve">/day) </w:t>
      </w:r>
      <w:r w:rsidR="00FD6FB5">
        <w:t>x 1]</w:t>
      </w:r>
    </w:p>
    <w:p w:rsidR="00FD6FB5" w:rsidRDefault="00281BDE">
      <w:pPr>
        <w:ind w:left="2160" w:firstLine="720"/>
        <w:jc w:val="both"/>
        <w:rPr>
          <w:spacing w:val="-3"/>
        </w:rPr>
      </w:pPr>
      <w:r>
        <w:rPr>
          <w:snapToGrid w:val="0"/>
        </w:rPr>
        <w:t xml:space="preserve"> </w:t>
      </w:r>
      <w:r w:rsidR="00FD6FB5">
        <w:rPr>
          <w:snapToGrid w:val="0"/>
        </w:rPr>
        <w:t xml:space="preserve">= PE2 </w:t>
      </w:r>
      <w:r w:rsidR="00FD6FB5">
        <w:rPr>
          <w:spacing w:val="-3"/>
        </w:rPr>
        <w:t>(</w:t>
      </w:r>
      <w:r w:rsidR="008B2F73">
        <w:rPr>
          <w:spacing w:val="-3"/>
        </w:rPr>
        <w:t>lbs</w:t>
      </w:r>
      <w:r w:rsidR="00FD6FB5">
        <w:rPr>
          <w:spacing w:val="-3"/>
        </w:rPr>
        <w:t xml:space="preserve">/day) </w:t>
      </w:r>
      <w:r w:rsidR="00FD6FB5">
        <w:rPr>
          <w:snapToGrid w:val="0"/>
        </w:rPr>
        <w:t xml:space="preserve">– </w:t>
      </w:r>
      <w:r w:rsidR="00FD6FB5">
        <w:t xml:space="preserve">PE1 </w:t>
      </w:r>
      <w:r w:rsidR="00FD6FB5">
        <w:rPr>
          <w:spacing w:val="-3"/>
        </w:rPr>
        <w:t>(</w:t>
      </w:r>
      <w:r w:rsidR="008B2F73">
        <w:rPr>
          <w:spacing w:val="-3"/>
        </w:rPr>
        <w:t>lbs</w:t>
      </w:r>
      <w:r w:rsidR="00FD6FB5">
        <w:rPr>
          <w:spacing w:val="-3"/>
        </w:rPr>
        <w:t>/day)</w:t>
      </w:r>
    </w:p>
    <w:p w:rsidR="00FD6FB5" w:rsidRDefault="00FD6FB5">
      <w:pPr>
        <w:pStyle w:val="FootnoteText"/>
        <w:suppressAutoHyphens/>
        <w:rPr>
          <w:rFonts w:ascii="Arial" w:hAnsi="Arial"/>
          <w:b/>
          <w:bCs/>
          <w:spacing w:val="-3"/>
        </w:rPr>
      </w:pPr>
    </w:p>
    <w:tbl>
      <w:tblPr>
        <w:tblW w:w="0" w:type="auto"/>
        <w:jc w:val="center"/>
        <w:tblInd w:w="366" w:type="dxa"/>
        <w:tblLayout w:type="fixed"/>
        <w:tblCellMar>
          <w:left w:w="122" w:type="dxa"/>
          <w:right w:w="122" w:type="dxa"/>
        </w:tblCellMar>
        <w:tblLook w:val="0000" w:firstRow="0" w:lastRow="0" w:firstColumn="0" w:lastColumn="0" w:noHBand="0" w:noVBand="0"/>
      </w:tblPr>
      <w:tblGrid>
        <w:gridCol w:w="1270"/>
        <w:gridCol w:w="1980"/>
        <w:gridCol w:w="2070"/>
        <w:gridCol w:w="2446"/>
      </w:tblGrid>
      <w:tr w:rsidR="00FD6FB5" w:rsidTr="006B0360">
        <w:trPr>
          <w:trHeight w:val="410"/>
          <w:jc w:val="center"/>
        </w:trPr>
        <w:tc>
          <w:tcPr>
            <w:tcW w:w="7766" w:type="dxa"/>
            <w:gridSpan w:val="4"/>
            <w:tcBorders>
              <w:top w:val="double" w:sz="6" w:space="0" w:color="auto"/>
              <w:left w:val="double" w:sz="6" w:space="0" w:color="auto"/>
              <w:right w:val="double" w:sz="6" w:space="0" w:color="auto"/>
            </w:tcBorders>
            <w:shd w:val="clear" w:color="auto" w:fill="auto"/>
            <w:vAlign w:val="center"/>
          </w:tcPr>
          <w:p w:rsidR="00FD6FB5" w:rsidRPr="007009EE" w:rsidRDefault="00FD6FB5" w:rsidP="009A4D6E">
            <w:pPr>
              <w:suppressAutoHyphens/>
              <w:spacing w:before="40" w:after="40"/>
              <w:jc w:val="center"/>
              <w:rPr>
                <w:b/>
                <w:bCs/>
                <w:spacing w:val="-3"/>
                <w:sz w:val="22"/>
                <w:szCs w:val="22"/>
              </w:rPr>
            </w:pPr>
            <w:r w:rsidRPr="007009EE">
              <w:rPr>
                <w:b/>
                <w:bCs/>
                <w:noProof/>
                <w:spacing w:val="-3"/>
                <w:sz w:val="22"/>
                <w:szCs w:val="22"/>
              </w:rPr>
              <w:t>Adjusted Increase in Permitted Emissions (AIPE)</w:t>
            </w:r>
          </w:p>
        </w:tc>
      </w:tr>
      <w:tr w:rsidR="00FD6FB5" w:rsidTr="00575356">
        <w:trPr>
          <w:trHeight w:val="437"/>
          <w:jc w:val="center"/>
        </w:trPr>
        <w:tc>
          <w:tcPr>
            <w:tcW w:w="1270" w:type="dxa"/>
            <w:tcBorders>
              <w:top w:val="double" w:sz="6" w:space="0" w:color="auto"/>
              <w:left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Pollutant</w:t>
            </w:r>
          </w:p>
        </w:tc>
        <w:tc>
          <w:tcPr>
            <w:tcW w:w="1980" w:type="dxa"/>
            <w:tcBorders>
              <w:top w:val="double" w:sz="6" w:space="0" w:color="auto"/>
              <w:left w:val="sing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PE</w:t>
            </w:r>
            <w:r w:rsidRPr="007009EE">
              <w:rPr>
                <w:b/>
                <w:bCs/>
                <w:spacing w:val="-3"/>
                <w:sz w:val="22"/>
                <w:szCs w:val="22"/>
                <w:vertAlign w:val="subscript"/>
              </w:rPr>
              <w:t>2</w:t>
            </w:r>
          </w:p>
          <w:p w:rsidR="00FD6FB5" w:rsidRPr="007009EE" w:rsidRDefault="00FD6FB5">
            <w:pPr>
              <w:pStyle w:val="BodyText2"/>
              <w:spacing w:before="0"/>
              <w:rPr>
                <w:b/>
                <w:bCs/>
                <w:sz w:val="22"/>
                <w:szCs w:val="22"/>
              </w:rPr>
            </w:pPr>
            <w:r w:rsidRPr="007009EE">
              <w:rPr>
                <w:b/>
                <w:bCs/>
                <w:sz w:val="22"/>
                <w:szCs w:val="22"/>
              </w:rPr>
              <w:t>Daily Post Project</w:t>
            </w:r>
          </w:p>
          <w:p w:rsidR="00FD6FB5" w:rsidRPr="007009EE" w:rsidRDefault="00FD6FB5">
            <w:pPr>
              <w:suppressAutoHyphens/>
              <w:jc w:val="center"/>
              <w:rPr>
                <w:b/>
                <w:bCs/>
                <w:spacing w:val="-3"/>
                <w:sz w:val="22"/>
                <w:szCs w:val="22"/>
              </w:rPr>
            </w:pPr>
            <w:r w:rsidRPr="007009EE">
              <w:rPr>
                <w:b/>
                <w:bCs/>
                <w:spacing w:val="-3"/>
                <w:sz w:val="22"/>
                <w:szCs w:val="22"/>
              </w:rPr>
              <w:t>(lb/day)</w:t>
            </w:r>
          </w:p>
        </w:tc>
        <w:tc>
          <w:tcPr>
            <w:tcW w:w="2070" w:type="dxa"/>
            <w:tcBorders>
              <w:top w:val="double" w:sz="6" w:space="0" w:color="auto"/>
              <w:left w:val="sing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PE</w:t>
            </w:r>
            <w:r w:rsidRPr="007009EE">
              <w:rPr>
                <w:b/>
                <w:bCs/>
                <w:spacing w:val="-3"/>
                <w:sz w:val="22"/>
                <w:szCs w:val="22"/>
                <w:vertAlign w:val="subscript"/>
              </w:rPr>
              <w:t>1</w:t>
            </w:r>
          </w:p>
          <w:p w:rsidR="00FD6FB5" w:rsidRPr="007009EE" w:rsidRDefault="00FD6FB5">
            <w:pPr>
              <w:suppressAutoHyphens/>
              <w:jc w:val="center"/>
              <w:rPr>
                <w:b/>
                <w:bCs/>
                <w:spacing w:val="-3"/>
                <w:sz w:val="22"/>
                <w:szCs w:val="22"/>
              </w:rPr>
            </w:pPr>
            <w:r w:rsidRPr="007009EE">
              <w:rPr>
                <w:b/>
                <w:bCs/>
                <w:sz w:val="22"/>
                <w:szCs w:val="22"/>
              </w:rPr>
              <w:t>Daily Pre Project</w:t>
            </w:r>
          </w:p>
          <w:p w:rsidR="00FD6FB5" w:rsidRPr="007009EE" w:rsidRDefault="00FD6FB5">
            <w:pPr>
              <w:suppressAutoHyphens/>
              <w:jc w:val="center"/>
              <w:rPr>
                <w:b/>
                <w:bCs/>
                <w:spacing w:val="-3"/>
                <w:sz w:val="22"/>
                <w:szCs w:val="22"/>
              </w:rPr>
            </w:pPr>
            <w:r w:rsidRPr="007009EE">
              <w:rPr>
                <w:b/>
                <w:bCs/>
                <w:spacing w:val="-3"/>
                <w:sz w:val="22"/>
                <w:szCs w:val="22"/>
              </w:rPr>
              <w:t>(lb/day)</w:t>
            </w:r>
          </w:p>
        </w:tc>
        <w:tc>
          <w:tcPr>
            <w:tcW w:w="2446" w:type="dxa"/>
            <w:tcBorders>
              <w:top w:val="doub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AIPE</w:t>
            </w:r>
          </w:p>
          <w:p w:rsidR="00FD6FB5" w:rsidRPr="007009EE" w:rsidRDefault="00FD6FB5">
            <w:pPr>
              <w:suppressAutoHyphens/>
              <w:jc w:val="center"/>
              <w:rPr>
                <w:b/>
                <w:bCs/>
                <w:spacing w:val="-3"/>
                <w:sz w:val="22"/>
                <w:szCs w:val="22"/>
              </w:rPr>
            </w:pPr>
            <w:r w:rsidRPr="007009EE">
              <w:rPr>
                <w:b/>
                <w:bCs/>
                <w:spacing w:val="-3"/>
                <w:sz w:val="22"/>
                <w:szCs w:val="22"/>
              </w:rPr>
              <w:t>(lb/day)</w:t>
            </w:r>
          </w:p>
        </w:tc>
      </w:tr>
      <w:tr w:rsidR="00FD6FB5" w:rsidTr="00575356">
        <w:trPr>
          <w:jc w:val="center"/>
        </w:trPr>
        <w:tc>
          <w:tcPr>
            <w:tcW w:w="1270" w:type="dxa"/>
            <w:tcBorders>
              <w:top w:val="doub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NO</w:t>
            </w:r>
            <w:r w:rsidRPr="007009EE">
              <w:rPr>
                <w:noProof/>
                <w:spacing w:val="-3"/>
                <w:sz w:val="22"/>
                <w:szCs w:val="22"/>
                <w:vertAlign w:val="subscript"/>
              </w:rPr>
              <w:t>x</w:t>
            </w:r>
          </w:p>
        </w:tc>
        <w:tc>
          <w:tcPr>
            <w:tcW w:w="1980" w:type="dxa"/>
            <w:tcBorders>
              <w:top w:val="double" w:sz="6" w:space="0" w:color="auto"/>
              <w:left w:val="sing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070" w:type="dxa"/>
            <w:tcBorders>
              <w:top w:val="double" w:sz="6" w:space="0" w:color="auto"/>
              <w:left w:val="sing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446" w:type="dxa"/>
            <w:tcBorders>
              <w:top w:val="double" w:sz="6" w:space="0" w:color="auto"/>
              <w:left w:val="single" w:sz="6" w:space="0" w:color="auto"/>
              <w:right w:val="doub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r>
      <w:tr w:rsidR="00FD6FB5" w:rsidTr="00575356">
        <w:trPr>
          <w:jc w:val="center"/>
        </w:trPr>
        <w:tc>
          <w:tcPr>
            <w:tcW w:w="1270"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SO</w:t>
            </w:r>
            <w:r w:rsidRPr="007009EE">
              <w:rPr>
                <w:noProof/>
                <w:spacing w:val="-3"/>
                <w:sz w:val="22"/>
                <w:szCs w:val="22"/>
                <w:vertAlign w:val="subscript"/>
              </w:rPr>
              <w:t>x</w:t>
            </w:r>
          </w:p>
        </w:tc>
        <w:tc>
          <w:tcPr>
            <w:tcW w:w="1980" w:type="dxa"/>
            <w:tcBorders>
              <w:top w:val="single" w:sz="6" w:space="0" w:color="auto"/>
              <w:left w:val="sing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070" w:type="dxa"/>
            <w:tcBorders>
              <w:top w:val="single" w:sz="6" w:space="0" w:color="auto"/>
              <w:left w:val="sing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446" w:type="dxa"/>
            <w:tcBorders>
              <w:top w:val="single" w:sz="6" w:space="0" w:color="auto"/>
              <w:left w:val="single" w:sz="6" w:space="0" w:color="auto"/>
              <w:right w:val="doub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r>
      <w:tr w:rsidR="00FD6FB5" w:rsidTr="00575356">
        <w:trPr>
          <w:jc w:val="center"/>
        </w:trPr>
        <w:tc>
          <w:tcPr>
            <w:tcW w:w="1270"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PM</w:t>
            </w:r>
            <w:r w:rsidRPr="007009EE">
              <w:rPr>
                <w:spacing w:val="-3"/>
                <w:sz w:val="22"/>
                <w:szCs w:val="22"/>
                <w:vertAlign w:val="subscript"/>
              </w:rPr>
              <w:t>10</w:t>
            </w:r>
          </w:p>
        </w:tc>
        <w:tc>
          <w:tcPr>
            <w:tcW w:w="1980" w:type="dxa"/>
            <w:tcBorders>
              <w:top w:val="single" w:sz="6" w:space="0" w:color="auto"/>
              <w:left w:val="sing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070" w:type="dxa"/>
            <w:tcBorders>
              <w:top w:val="single" w:sz="6" w:space="0" w:color="auto"/>
              <w:left w:val="sing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446" w:type="dxa"/>
            <w:tcBorders>
              <w:top w:val="single" w:sz="6" w:space="0" w:color="auto"/>
              <w:left w:val="single" w:sz="6" w:space="0" w:color="auto"/>
              <w:right w:val="doub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r>
      <w:tr w:rsidR="00FD6FB5" w:rsidTr="00575356">
        <w:trPr>
          <w:jc w:val="center"/>
        </w:trPr>
        <w:tc>
          <w:tcPr>
            <w:tcW w:w="1270"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CO</w:t>
            </w:r>
          </w:p>
        </w:tc>
        <w:tc>
          <w:tcPr>
            <w:tcW w:w="1980" w:type="dxa"/>
            <w:tcBorders>
              <w:top w:val="single" w:sz="6" w:space="0" w:color="auto"/>
              <w:left w:val="sing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070" w:type="dxa"/>
            <w:tcBorders>
              <w:top w:val="single" w:sz="6" w:space="0" w:color="auto"/>
              <w:left w:val="sing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446" w:type="dxa"/>
            <w:tcBorders>
              <w:top w:val="single" w:sz="6" w:space="0" w:color="auto"/>
              <w:left w:val="single" w:sz="6" w:space="0" w:color="auto"/>
              <w:right w:val="doub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r>
      <w:tr w:rsidR="00FD6FB5" w:rsidTr="00575356">
        <w:trPr>
          <w:jc w:val="center"/>
        </w:trPr>
        <w:tc>
          <w:tcPr>
            <w:tcW w:w="1270" w:type="dxa"/>
            <w:tcBorders>
              <w:top w:val="single" w:sz="6" w:space="0" w:color="auto"/>
              <w:left w:val="double" w:sz="6" w:space="0" w:color="auto"/>
              <w:bottom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VOC</w:t>
            </w:r>
          </w:p>
        </w:tc>
        <w:tc>
          <w:tcPr>
            <w:tcW w:w="1980" w:type="dxa"/>
            <w:tcBorders>
              <w:top w:val="single" w:sz="6" w:space="0" w:color="auto"/>
              <w:left w:val="single" w:sz="6" w:space="0" w:color="auto"/>
              <w:bottom w:val="doub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070" w:type="dxa"/>
            <w:tcBorders>
              <w:top w:val="single" w:sz="6" w:space="0" w:color="auto"/>
              <w:left w:val="single" w:sz="6" w:space="0" w:color="auto"/>
              <w:bottom w:val="doub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c>
          <w:tcPr>
            <w:tcW w:w="2446" w:type="dxa"/>
            <w:tcBorders>
              <w:top w:val="single" w:sz="6" w:space="0" w:color="auto"/>
              <w:left w:val="single" w:sz="6" w:space="0" w:color="auto"/>
              <w:bottom w:val="double" w:sz="6" w:space="0" w:color="auto"/>
              <w:right w:val="double" w:sz="6" w:space="0" w:color="auto"/>
            </w:tcBorders>
            <w:shd w:val="clear" w:color="auto" w:fill="auto"/>
            <w:vAlign w:val="center"/>
          </w:tcPr>
          <w:p w:rsidR="00FD6FB5" w:rsidRPr="007009EE" w:rsidRDefault="00FD6FB5">
            <w:pPr>
              <w:jc w:val="center"/>
              <w:rPr>
                <w:snapToGrid w:val="0"/>
                <w:color w:val="0000FF"/>
                <w:sz w:val="22"/>
                <w:szCs w:val="22"/>
              </w:rPr>
            </w:pPr>
            <w:r w:rsidRPr="007009EE">
              <w:rPr>
                <w:snapToGrid w:val="0"/>
                <w:color w:val="0000FF"/>
                <w:sz w:val="22"/>
                <w:szCs w:val="22"/>
              </w:rPr>
              <w:t>[  ]</w:t>
            </w:r>
          </w:p>
        </w:tc>
      </w:tr>
    </w:tbl>
    <w:p w:rsidR="00FD6FB5" w:rsidRDefault="00FD6FB5">
      <w:pPr>
        <w:pStyle w:val="BodyText3"/>
      </w:pPr>
    </w:p>
    <w:p w:rsidR="00FD6FB5" w:rsidRDefault="00FD6FB5">
      <w:pPr>
        <w:suppressAutoHyphens/>
        <w:ind w:left="1260" w:hanging="450"/>
        <w:jc w:val="both"/>
        <w:rPr>
          <w:b/>
          <w:bCs/>
          <w:spacing w:val="-3"/>
        </w:rPr>
      </w:pPr>
      <w:r>
        <w:rPr>
          <w:b/>
          <w:bCs/>
          <w:spacing w:val="-3"/>
        </w:rPr>
        <w:t>2.</w:t>
      </w:r>
      <w:r>
        <w:rPr>
          <w:b/>
          <w:bCs/>
          <w:spacing w:val="-3"/>
        </w:rPr>
        <w:tab/>
      </w:r>
      <w:r>
        <w:rPr>
          <w:b/>
          <w:bCs/>
          <w:spacing w:val="-3"/>
          <w:u w:val="single"/>
        </w:rPr>
        <w:t>BACT Guidance</w:t>
      </w:r>
    </w:p>
    <w:p w:rsidR="00FD6FB5" w:rsidRDefault="00FD6FB5">
      <w:pPr>
        <w:suppressAutoHyphens/>
        <w:jc w:val="both"/>
        <w:rPr>
          <w:spacing w:val="-3"/>
        </w:rPr>
      </w:pPr>
    </w:p>
    <w:p w:rsidR="00FD6FB5" w:rsidRDefault="00FD6FB5">
      <w:pPr>
        <w:suppressAutoHyphens/>
        <w:ind w:left="810"/>
        <w:jc w:val="both"/>
        <w:rPr>
          <w:spacing w:val="-3"/>
        </w:rPr>
      </w:pPr>
      <w:r>
        <w:rPr>
          <w:spacing w:val="-3"/>
        </w:rPr>
        <w:t>Per District Policy APR 1305, Section IX, “A top-down BACT analysis shall be performed as a part of the Application Review for each application subject to the BACT requirements pursuant to the District’s NSR Rule for source categories or classes covered in the BACT Clearinghouse, relevant information under each of the following steps may be simply cited from the Clearinghouse without further analysis.”</w:t>
      </w:r>
    </w:p>
    <w:p w:rsidR="00FD6FB5" w:rsidRDefault="00FD6FB5">
      <w:pPr>
        <w:suppressAutoHyphens/>
        <w:ind w:left="720" w:hanging="720"/>
        <w:jc w:val="both"/>
        <w:rPr>
          <w:spacing w:val="-3"/>
        </w:rPr>
      </w:pPr>
    </w:p>
    <w:p w:rsidR="00FD6FB5" w:rsidRDefault="00FD6FB5">
      <w:pPr>
        <w:suppressAutoHyphens/>
        <w:ind w:left="810"/>
        <w:jc w:val="both"/>
        <w:rPr>
          <w:spacing w:val="-3"/>
        </w:rPr>
      </w:pPr>
      <w:r>
        <w:rPr>
          <w:spacing w:val="-3"/>
        </w:rPr>
        <w:t xml:space="preserve">SJVUAPCD BACT Clearinghouse Guideline </w:t>
      </w:r>
      <w:r>
        <w:rPr>
          <w:color w:val="0000FF"/>
          <w:spacing w:val="-3"/>
        </w:rPr>
        <w:t>2.1.2</w:t>
      </w:r>
      <w:r>
        <w:rPr>
          <w:spacing w:val="-3"/>
        </w:rPr>
        <w:t xml:space="preserve"> specifies the achieved in practice or contained in SIP BACT and technologically feasible BACT for soil remediation operations utilizing an IC engine.  Therefore, relevant information will be cited without further analysis.</w:t>
      </w:r>
    </w:p>
    <w:p w:rsidR="00FD6FB5" w:rsidRDefault="00FD6FB5">
      <w:pPr>
        <w:suppressAutoHyphens/>
        <w:jc w:val="both"/>
        <w:rPr>
          <w:spacing w:val="-3"/>
        </w:rPr>
      </w:pPr>
    </w:p>
    <w:p w:rsidR="00FD6FB5" w:rsidRDefault="00FD6FB5">
      <w:pPr>
        <w:suppressAutoHyphens/>
        <w:ind w:firstLine="720"/>
        <w:jc w:val="both"/>
        <w:rPr>
          <w:spacing w:val="-3"/>
        </w:rPr>
      </w:pPr>
      <w:r>
        <w:rPr>
          <w:i/>
          <w:iCs/>
          <w:color w:val="FF0000"/>
          <w:spacing w:val="-3"/>
        </w:rPr>
        <w:t>See Appendix I: BACT Clearinghouse Guideline 2.1.2</w:t>
      </w:r>
    </w:p>
    <w:p w:rsidR="00FD6FB5" w:rsidRDefault="00FD6FB5">
      <w:pPr>
        <w:suppressAutoHyphens/>
        <w:ind w:left="720" w:hanging="720"/>
        <w:jc w:val="both"/>
        <w:rPr>
          <w:spacing w:val="-3"/>
        </w:rPr>
      </w:pPr>
    </w:p>
    <w:p w:rsidR="00FD6FB5" w:rsidRDefault="00FD6FB5">
      <w:pPr>
        <w:suppressAutoHyphens/>
        <w:ind w:left="1260" w:hanging="450"/>
        <w:jc w:val="both"/>
        <w:rPr>
          <w:b/>
          <w:bCs/>
          <w:spacing w:val="-3"/>
        </w:rPr>
      </w:pPr>
      <w:r>
        <w:rPr>
          <w:b/>
          <w:bCs/>
          <w:spacing w:val="-3"/>
        </w:rPr>
        <w:t>3.</w:t>
      </w:r>
      <w:r>
        <w:rPr>
          <w:b/>
          <w:bCs/>
          <w:spacing w:val="-3"/>
        </w:rPr>
        <w:tab/>
      </w:r>
      <w:r>
        <w:rPr>
          <w:b/>
          <w:bCs/>
          <w:spacing w:val="-3"/>
          <w:u w:val="single"/>
        </w:rPr>
        <w:t>Top-Down BACT Analysis</w:t>
      </w:r>
    </w:p>
    <w:p w:rsidR="00FD6FB5" w:rsidRDefault="00FD6FB5">
      <w:pPr>
        <w:suppressAutoHyphens/>
        <w:ind w:left="810" w:hanging="810"/>
        <w:jc w:val="both"/>
        <w:rPr>
          <w:spacing w:val="-3"/>
        </w:rPr>
      </w:pPr>
      <w:r>
        <w:rPr>
          <w:spacing w:val="-3"/>
        </w:rPr>
        <w:tab/>
      </w:r>
    </w:p>
    <w:p w:rsidR="00FD6FB5" w:rsidRDefault="00FD6FB5">
      <w:pPr>
        <w:suppressAutoHyphens/>
        <w:ind w:left="810" w:hanging="810"/>
        <w:jc w:val="both"/>
        <w:rPr>
          <w:spacing w:val="-3"/>
        </w:rPr>
      </w:pPr>
      <w:r>
        <w:rPr>
          <w:spacing w:val="-3"/>
        </w:rPr>
        <w:tab/>
        <w:t xml:space="preserve">The applicant is proposing to use an </w:t>
      </w:r>
      <w:r w:rsidRPr="006F6EB9">
        <w:rPr>
          <w:spacing w:val="-3"/>
        </w:rPr>
        <w:t xml:space="preserve">IC engine with a 3-way catalytic converter at 95% or greater control efficiency and LPG as auxiliary fuel for </w:t>
      </w:r>
      <w:r w:rsidR="00281BDE" w:rsidRPr="006F6EB9">
        <w:rPr>
          <w:spacing w:val="-3"/>
        </w:rPr>
        <w:t>NO</w:t>
      </w:r>
      <w:r w:rsidR="00281BDE" w:rsidRPr="006F6EB9">
        <w:rPr>
          <w:spacing w:val="-3"/>
          <w:vertAlign w:val="subscript"/>
        </w:rPr>
        <w:t>X</w:t>
      </w:r>
      <w:r w:rsidR="00281BDE" w:rsidRPr="006F6EB9">
        <w:rPr>
          <w:spacing w:val="-3"/>
        </w:rPr>
        <w:t xml:space="preserve">, CO, and </w:t>
      </w:r>
      <w:r w:rsidRPr="006F6EB9">
        <w:rPr>
          <w:spacing w:val="-3"/>
        </w:rPr>
        <w:t>VOC.</w:t>
      </w:r>
      <w:r>
        <w:rPr>
          <w:spacing w:val="-3"/>
        </w:rPr>
        <w:t xml:space="preserve">  Per the Top-Down analysis in </w:t>
      </w:r>
      <w:r w:rsidRPr="006F6EB9">
        <w:rPr>
          <w:spacing w:val="-3"/>
        </w:rPr>
        <w:t xml:space="preserve">Appendix </w:t>
      </w:r>
      <w:r w:rsidRPr="006F6EB9">
        <w:rPr>
          <w:color w:val="0000FF"/>
          <w:spacing w:val="-3"/>
        </w:rPr>
        <w:t>I</w:t>
      </w:r>
      <w:r>
        <w:rPr>
          <w:color w:val="FF0000"/>
          <w:spacing w:val="-3"/>
        </w:rPr>
        <w:t xml:space="preserve"> </w:t>
      </w:r>
      <w:r>
        <w:rPr>
          <w:spacing w:val="-3"/>
        </w:rPr>
        <w:t xml:space="preserve">of this evaluation, this proposed equipment is achieved in practice BACT and there is not a more effective technologically feasible control.  Therefore, the proposed equipment satisfies the BACT requirement. </w:t>
      </w:r>
    </w:p>
    <w:p w:rsidR="00FD6FB5" w:rsidRDefault="00FD6FB5">
      <w:pPr>
        <w:suppressAutoHyphens/>
        <w:jc w:val="both"/>
        <w:rPr>
          <w:b/>
          <w:spacing w:val="-3"/>
        </w:rPr>
      </w:pPr>
    </w:p>
    <w:p w:rsidR="00FD6FB5" w:rsidRDefault="00FD6FB5">
      <w:pPr>
        <w:pStyle w:val="Heading5"/>
        <w:ind w:left="900" w:hanging="360"/>
      </w:pPr>
      <w:r>
        <w:t>B.</w:t>
      </w:r>
      <w:r>
        <w:tab/>
        <w:t>Offsets</w:t>
      </w:r>
    </w:p>
    <w:p w:rsidR="00FD6FB5" w:rsidRDefault="00FD6FB5">
      <w:pPr>
        <w:tabs>
          <w:tab w:val="left" w:pos="-720"/>
          <w:tab w:val="left" w:pos="0"/>
          <w:tab w:val="left" w:pos="720"/>
        </w:tabs>
        <w:suppressAutoHyphens/>
        <w:jc w:val="both"/>
        <w:rPr>
          <w:spacing w:val="-3"/>
        </w:rPr>
      </w:pPr>
    </w:p>
    <w:p w:rsidR="00FD6FB5" w:rsidRDefault="00FD6FB5">
      <w:pPr>
        <w:suppressAutoHyphens/>
        <w:ind w:left="1260" w:hanging="450"/>
        <w:jc w:val="both"/>
        <w:rPr>
          <w:b/>
          <w:spacing w:val="-3"/>
        </w:rPr>
      </w:pPr>
      <w:r>
        <w:rPr>
          <w:b/>
          <w:spacing w:val="-3"/>
        </w:rPr>
        <w:t>1.</w:t>
      </w:r>
      <w:r>
        <w:rPr>
          <w:b/>
          <w:spacing w:val="-3"/>
        </w:rPr>
        <w:tab/>
        <w:t>Offset Applicability</w:t>
      </w:r>
    </w:p>
    <w:p w:rsidR="00FD6FB5" w:rsidRDefault="00FD6FB5">
      <w:pPr>
        <w:suppressAutoHyphens/>
        <w:ind w:left="720"/>
        <w:jc w:val="both"/>
        <w:rPr>
          <w:spacing w:val="-3"/>
        </w:rPr>
      </w:pPr>
    </w:p>
    <w:p w:rsidR="00FD6FB5" w:rsidRDefault="00FD6FB5">
      <w:pPr>
        <w:suppressAutoHyphens/>
        <w:ind w:left="720"/>
        <w:jc w:val="both"/>
        <w:rPr>
          <w:spacing w:val="-3"/>
        </w:rPr>
      </w:pPr>
      <w:r>
        <w:t xml:space="preserve">Pursuant to Section 4.5.3, offset requirements shall be triggered on a pollutant by pollutant basis and shall be required if the Post-project Stationary Source Potential to Emit (SSPE2) equals to or exceeds </w:t>
      </w:r>
      <w:r>
        <w:rPr>
          <w:spacing w:val="-3"/>
        </w:rPr>
        <w:t>the offset threshold levels in Table 4-1 or Rule 2201.</w:t>
      </w:r>
    </w:p>
    <w:p w:rsidR="00FD6FB5" w:rsidRDefault="00FD6FB5">
      <w:pPr>
        <w:suppressAutoHyphens/>
        <w:ind w:left="720"/>
        <w:jc w:val="both"/>
        <w:rPr>
          <w:spacing w:val="-3"/>
        </w:rPr>
      </w:pPr>
    </w:p>
    <w:p w:rsidR="00FD6FB5" w:rsidRDefault="00FD6FB5">
      <w:pPr>
        <w:suppressAutoHyphens/>
        <w:ind w:left="720"/>
        <w:jc w:val="both"/>
      </w:pPr>
      <w:r>
        <w:t>The following table compares the post-project facility-wide annual emissions in order to determine if offsets will be required for this project.</w:t>
      </w:r>
    </w:p>
    <w:p w:rsidR="00FD6FB5" w:rsidRDefault="00FD6FB5">
      <w:pPr>
        <w:suppressAutoHyphens/>
        <w:ind w:left="1440"/>
        <w:jc w:val="both"/>
        <w:rPr>
          <w:spacing w:val="-3"/>
        </w:rPr>
      </w:pPr>
    </w:p>
    <w:tbl>
      <w:tblPr>
        <w:tblW w:w="0" w:type="auto"/>
        <w:jc w:val="center"/>
        <w:tblInd w:w="-1128" w:type="dxa"/>
        <w:tblLayout w:type="fixed"/>
        <w:tblCellMar>
          <w:left w:w="122" w:type="dxa"/>
          <w:right w:w="122" w:type="dxa"/>
        </w:tblCellMar>
        <w:tblLook w:val="0000" w:firstRow="0" w:lastRow="0" w:firstColumn="0" w:lastColumn="0" w:noHBand="0" w:noVBand="0"/>
      </w:tblPr>
      <w:tblGrid>
        <w:gridCol w:w="2016"/>
        <w:gridCol w:w="1710"/>
        <w:gridCol w:w="2187"/>
        <w:gridCol w:w="1953"/>
      </w:tblGrid>
      <w:tr w:rsidR="00FD6FB5" w:rsidTr="006B0360">
        <w:trPr>
          <w:cantSplit/>
          <w:jc w:val="center"/>
        </w:trPr>
        <w:tc>
          <w:tcPr>
            <w:tcW w:w="7866" w:type="dxa"/>
            <w:gridSpan w:val="4"/>
            <w:tcBorders>
              <w:top w:val="double" w:sz="6" w:space="0" w:color="auto"/>
              <w:left w:val="double" w:sz="6" w:space="0" w:color="auto"/>
              <w:right w:val="double" w:sz="6" w:space="0" w:color="auto"/>
            </w:tcBorders>
            <w:shd w:val="clear" w:color="auto" w:fill="auto"/>
          </w:tcPr>
          <w:p w:rsidR="00FD6FB5" w:rsidRPr="007009EE" w:rsidRDefault="00FD6FB5" w:rsidP="009A4D6E">
            <w:pPr>
              <w:suppressAutoHyphens/>
              <w:spacing w:before="40" w:after="40"/>
              <w:jc w:val="center"/>
              <w:rPr>
                <w:b/>
                <w:bCs/>
                <w:spacing w:val="-3"/>
                <w:sz w:val="22"/>
                <w:szCs w:val="22"/>
              </w:rPr>
            </w:pPr>
            <w:r w:rsidRPr="007009EE">
              <w:rPr>
                <w:b/>
                <w:bCs/>
                <w:spacing w:val="-3"/>
                <w:sz w:val="22"/>
                <w:szCs w:val="22"/>
              </w:rPr>
              <w:t>Offset Applicability</w:t>
            </w:r>
          </w:p>
        </w:tc>
      </w:tr>
      <w:tr w:rsidR="00FD6FB5" w:rsidTr="00575356">
        <w:trPr>
          <w:trHeight w:val="311"/>
          <w:jc w:val="center"/>
        </w:trPr>
        <w:tc>
          <w:tcPr>
            <w:tcW w:w="2016" w:type="dxa"/>
            <w:tcBorders>
              <w:top w:val="double" w:sz="6" w:space="0" w:color="auto"/>
              <w:left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Pollutant</w:t>
            </w:r>
          </w:p>
        </w:tc>
        <w:tc>
          <w:tcPr>
            <w:tcW w:w="1710" w:type="dxa"/>
            <w:tcBorders>
              <w:top w:val="double" w:sz="6" w:space="0" w:color="auto"/>
              <w:left w:val="sing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SSPE2 (lb/yr)</w:t>
            </w:r>
          </w:p>
        </w:tc>
        <w:tc>
          <w:tcPr>
            <w:tcW w:w="2187" w:type="dxa"/>
            <w:tcBorders>
              <w:top w:val="double" w:sz="6" w:space="0" w:color="auto"/>
              <w:left w:val="sing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Offset Threshold Levels (lb/yr)</w:t>
            </w:r>
          </w:p>
        </w:tc>
        <w:tc>
          <w:tcPr>
            <w:tcW w:w="1953" w:type="dxa"/>
            <w:tcBorders>
              <w:top w:val="doub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Offsets Required?</w:t>
            </w:r>
          </w:p>
        </w:tc>
      </w:tr>
      <w:tr w:rsidR="00FD6FB5" w:rsidTr="00575356">
        <w:trPr>
          <w:jc w:val="center"/>
        </w:trPr>
        <w:tc>
          <w:tcPr>
            <w:tcW w:w="2016" w:type="dxa"/>
            <w:tcBorders>
              <w:top w:val="doub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NO</w:t>
            </w:r>
            <w:r w:rsidRPr="007009EE">
              <w:rPr>
                <w:noProof/>
                <w:spacing w:val="-3"/>
                <w:sz w:val="22"/>
                <w:szCs w:val="22"/>
                <w:vertAlign w:val="subscript"/>
              </w:rPr>
              <w:t>x</w:t>
            </w:r>
          </w:p>
        </w:tc>
        <w:tc>
          <w:tcPr>
            <w:tcW w:w="1710" w:type="dxa"/>
            <w:tcBorders>
              <w:top w:val="doub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87" w:type="dxa"/>
            <w:tcBorders>
              <w:top w:val="double" w:sz="6" w:space="0" w:color="auto"/>
              <w:left w:val="single" w:sz="6"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20,000</w:t>
            </w:r>
          </w:p>
        </w:tc>
        <w:tc>
          <w:tcPr>
            <w:tcW w:w="1953" w:type="dxa"/>
            <w:tcBorders>
              <w:top w:val="doub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rPr>
          <w:jc w:val="center"/>
        </w:trPr>
        <w:tc>
          <w:tcPr>
            <w:tcW w:w="2016"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SO</w:t>
            </w:r>
            <w:r w:rsidRPr="007009EE">
              <w:rPr>
                <w:noProof/>
                <w:spacing w:val="-3"/>
                <w:sz w:val="22"/>
                <w:szCs w:val="22"/>
                <w:vertAlign w:val="subscript"/>
              </w:rPr>
              <w:t>x</w:t>
            </w:r>
          </w:p>
        </w:tc>
        <w:tc>
          <w:tcPr>
            <w:tcW w:w="1710"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87" w:type="dxa"/>
            <w:tcBorders>
              <w:top w:val="single" w:sz="6" w:space="0" w:color="auto"/>
              <w:left w:val="single" w:sz="6"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54,750</w:t>
            </w:r>
          </w:p>
        </w:tc>
        <w:tc>
          <w:tcPr>
            <w:tcW w:w="1953" w:type="dxa"/>
            <w:tcBorders>
              <w:top w:val="sing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rPr>
          <w:jc w:val="center"/>
        </w:trPr>
        <w:tc>
          <w:tcPr>
            <w:tcW w:w="2016"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PM</w:t>
            </w:r>
            <w:r w:rsidRPr="007009EE">
              <w:rPr>
                <w:spacing w:val="-3"/>
                <w:sz w:val="22"/>
                <w:szCs w:val="22"/>
                <w:vertAlign w:val="subscript"/>
              </w:rPr>
              <w:t>10</w:t>
            </w:r>
          </w:p>
        </w:tc>
        <w:tc>
          <w:tcPr>
            <w:tcW w:w="1710"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87" w:type="dxa"/>
            <w:tcBorders>
              <w:top w:val="single" w:sz="6" w:space="0" w:color="auto"/>
              <w:left w:val="single" w:sz="6"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29,200</w:t>
            </w:r>
          </w:p>
        </w:tc>
        <w:tc>
          <w:tcPr>
            <w:tcW w:w="1953" w:type="dxa"/>
            <w:tcBorders>
              <w:top w:val="sing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rPr>
          <w:jc w:val="center"/>
        </w:trPr>
        <w:tc>
          <w:tcPr>
            <w:tcW w:w="2016"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CO</w:t>
            </w:r>
          </w:p>
        </w:tc>
        <w:tc>
          <w:tcPr>
            <w:tcW w:w="1710"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87" w:type="dxa"/>
            <w:tcBorders>
              <w:top w:val="single" w:sz="6" w:space="0" w:color="auto"/>
              <w:left w:val="single" w:sz="6"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200,000</w:t>
            </w:r>
          </w:p>
        </w:tc>
        <w:tc>
          <w:tcPr>
            <w:tcW w:w="1953" w:type="dxa"/>
            <w:tcBorders>
              <w:top w:val="sing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rPr>
          <w:jc w:val="center"/>
        </w:trPr>
        <w:tc>
          <w:tcPr>
            <w:tcW w:w="2016" w:type="dxa"/>
            <w:tcBorders>
              <w:top w:val="single" w:sz="6" w:space="0" w:color="auto"/>
              <w:left w:val="double" w:sz="6" w:space="0" w:color="auto"/>
              <w:bottom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VOC</w:t>
            </w:r>
          </w:p>
        </w:tc>
        <w:tc>
          <w:tcPr>
            <w:tcW w:w="1710" w:type="dxa"/>
            <w:tcBorders>
              <w:top w:val="single" w:sz="6" w:space="0" w:color="auto"/>
              <w:left w:val="single" w:sz="6" w:space="0" w:color="auto"/>
              <w:bottom w:val="doub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2187" w:type="dxa"/>
            <w:tcBorders>
              <w:top w:val="single" w:sz="6" w:space="0" w:color="auto"/>
              <w:left w:val="single" w:sz="6" w:space="0" w:color="auto"/>
              <w:bottom w:val="double" w:sz="6"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20,000</w:t>
            </w:r>
          </w:p>
        </w:tc>
        <w:tc>
          <w:tcPr>
            <w:tcW w:w="1953" w:type="dxa"/>
            <w:tcBorders>
              <w:top w:val="single" w:sz="6" w:space="0" w:color="auto"/>
              <w:left w:val="single" w:sz="6" w:space="0" w:color="auto"/>
              <w:bottom w:val="doub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bl>
    <w:p w:rsidR="00FD6FB5" w:rsidRDefault="00FD6FB5">
      <w:pPr>
        <w:suppressAutoHyphens/>
        <w:ind w:left="1440"/>
        <w:jc w:val="both"/>
        <w:rPr>
          <w:spacing w:val="-3"/>
        </w:rPr>
      </w:pPr>
    </w:p>
    <w:p w:rsidR="00FD6FB5" w:rsidRDefault="00FD6FB5">
      <w:pPr>
        <w:pStyle w:val="BodyTextIndent"/>
        <w:tabs>
          <w:tab w:val="left" w:pos="1890"/>
        </w:tabs>
        <w:ind w:left="1260" w:hanging="450"/>
      </w:pPr>
      <w:r>
        <w:rPr>
          <w:b/>
        </w:rPr>
        <w:t>2.</w:t>
      </w:r>
      <w:r>
        <w:rPr>
          <w:b/>
        </w:rPr>
        <w:tab/>
        <w:t>Quantity of Offsets Required</w:t>
      </w:r>
    </w:p>
    <w:p w:rsidR="00FD6FB5" w:rsidRDefault="00FD6FB5">
      <w:pPr>
        <w:pStyle w:val="BodyTextIndent"/>
        <w:ind w:left="1350"/>
      </w:pPr>
    </w:p>
    <w:p w:rsidR="00FD6FB5" w:rsidRDefault="00FD6FB5">
      <w:pPr>
        <w:pStyle w:val="BodyTextIndent"/>
        <w:ind w:left="810"/>
      </w:pPr>
      <w:r>
        <w:t>As shown in the table above, the SSPE2 is not greater than or equal to the offset threshold levels for any criteria pollutant.  Therefore, offsets will not be required.</w:t>
      </w:r>
    </w:p>
    <w:p w:rsidR="00FD6FB5" w:rsidRDefault="00FD6FB5">
      <w:pPr>
        <w:suppressAutoHyphens/>
        <w:jc w:val="both"/>
        <w:rPr>
          <w:i/>
          <w:iCs/>
          <w:color w:val="FF0000"/>
          <w:spacing w:val="-3"/>
        </w:rPr>
      </w:pPr>
      <w:r>
        <w:rPr>
          <w:i/>
          <w:iCs/>
          <w:color w:val="FF0000"/>
          <w:spacing w:val="-3"/>
        </w:rPr>
        <w:t>OR</w:t>
      </w:r>
    </w:p>
    <w:p w:rsidR="00FD6FB5" w:rsidRDefault="00FD6FB5">
      <w:pPr>
        <w:suppressAutoHyphens/>
        <w:jc w:val="both"/>
        <w:rPr>
          <w:i/>
          <w:iCs/>
          <w:color w:val="FF0000"/>
          <w:spacing w:val="-3"/>
        </w:rPr>
      </w:pPr>
    </w:p>
    <w:p w:rsidR="00FD6FB5" w:rsidRPr="006F6EB9" w:rsidRDefault="00FD6FB5">
      <w:pPr>
        <w:suppressAutoHyphens/>
        <w:ind w:left="810"/>
        <w:jc w:val="both"/>
        <w:rPr>
          <w:i/>
          <w:iCs/>
          <w:color w:val="FF0000"/>
        </w:rPr>
      </w:pPr>
      <w:r>
        <w:t>As shown in the table above, the SSPE2 meets or exceeds the offset threshold levels.  Therefore, offsets will be require</w:t>
      </w:r>
      <w:r w:rsidR="006F6EB9">
        <w:t>d.</w:t>
      </w:r>
      <w:r w:rsidRPr="006F6EB9">
        <w:rPr>
          <w:i/>
          <w:iCs/>
          <w:color w:val="FF0000"/>
        </w:rPr>
        <w:t xml:space="preserve"> (If this is true, this project is NO LONGER A GEAR. Check with your supervisor before further processing.)</w:t>
      </w:r>
    </w:p>
    <w:p w:rsidR="00FD6FB5" w:rsidRDefault="00FD6FB5">
      <w:pPr>
        <w:suppressAutoHyphens/>
        <w:ind w:left="720"/>
        <w:jc w:val="both"/>
        <w:rPr>
          <w:spacing w:val="-3"/>
        </w:rPr>
      </w:pPr>
    </w:p>
    <w:p w:rsidR="00FD6FB5" w:rsidRDefault="00FD6FB5">
      <w:pPr>
        <w:suppressAutoHyphens/>
        <w:ind w:left="900" w:hanging="360"/>
        <w:jc w:val="both"/>
        <w:rPr>
          <w:b/>
          <w:spacing w:val="-3"/>
        </w:rPr>
      </w:pPr>
      <w:r>
        <w:rPr>
          <w:b/>
          <w:spacing w:val="-3"/>
        </w:rPr>
        <w:t>C.</w:t>
      </w:r>
      <w:r>
        <w:rPr>
          <w:spacing w:val="-3"/>
        </w:rPr>
        <w:tab/>
      </w:r>
      <w:r>
        <w:rPr>
          <w:b/>
          <w:spacing w:val="-3"/>
        </w:rPr>
        <w:t>Public Notification</w:t>
      </w:r>
    </w:p>
    <w:p w:rsidR="00FD6FB5" w:rsidRDefault="00FD6FB5">
      <w:pPr>
        <w:suppressAutoHyphens/>
      </w:pPr>
    </w:p>
    <w:p w:rsidR="00FD6FB5" w:rsidRDefault="00FD6FB5">
      <w:pPr>
        <w:numPr>
          <w:ilvl w:val="0"/>
          <w:numId w:val="13"/>
        </w:numPr>
        <w:tabs>
          <w:tab w:val="clear" w:pos="1800"/>
          <w:tab w:val="left" w:pos="1260"/>
          <w:tab w:val="num" w:pos="1440"/>
        </w:tabs>
        <w:suppressAutoHyphens/>
        <w:ind w:hanging="900"/>
        <w:jc w:val="both"/>
        <w:rPr>
          <w:b/>
        </w:rPr>
      </w:pPr>
      <w:r>
        <w:rPr>
          <w:b/>
        </w:rPr>
        <w:t>Applicability</w:t>
      </w:r>
    </w:p>
    <w:p w:rsidR="00FD6FB5" w:rsidRDefault="00FD6FB5">
      <w:pPr>
        <w:suppressAutoHyphens/>
      </w:pPr>
    </w:p>
    <w:p w:rsidR="00FD6FB5" w:rsidRDefault="00FD6FB5">
      <w:pPr>
        <w:pStyle w:val="BodyTextIndent2"/>
        <w:suppressAutoHyphens/>
        <w:ind w:left="900"/>
        <w:rPr>
          <w:snapToGrid/>
        </w:rPr>
      </w:pPr>
      <w:r>
        <w:rPr>
          <w:snapToGrid/>
        </w:rPr>
        <w:t>Public noticing is required for:</w:t>
      </w:r>
    </w:p>
    <w:p w:rsidR="00FD6FB5" w:rsidRDefault="00FD6FB5">
      <w:pPr>
        <w:suppressAutoHyphens/>
        <w:ind w:left="1440"/>
      </w:pPr>
    </w:p>
    <w:p w:rsidR="00FD6FB5" w:rsidRDefault="00FD6FB5">
      <w:pPr>
        <w:suppressAutoHyphens/>
        <w:ind w:left="900"/>
      </w:pPr>
      <w:r>
        <w:t>a)</w:t>
      </w:r>
      <w:r>
        <w:tab/>
      </w:r>
      <w:r w:rsidR="008C6344">
        <w:rPr>
          <w:color w:val="000000"/>
        </w:rPr>
        <w:t>Any new Major Source, which is a new facility that is also a Major Source</w:t>
      </w:r>
      <w:r>
        <w:t>,</w:t>
      </w:r>
    </w:p>
    <w:p w:rsidR="00FD6FB5" w:rsidRDefault="00FD6FB5">
      <w:pPr>
        <w:suppressAutoHyphens/>
        <w:ind w:firstLine="900"/>
      </w:pPr>
      <w:r>
        <w:t>b)</w:t>
      </w:r>
      <w:r>
        <w:tab/>
      </w:r>
      <w:r w:rsidR="008C6344">
        <w:rPr>
          <w:color w:val="000000"/>
        </w:rPr>
        <w:t>SB 288 Major Modifications or Federal Major Modifications</w:t>
      </w:r>
      <w:r>
        <w:t>,</w:t>
      </w:r>
    </w:p>
    <w:p w:rsidR="00FD6FB5" w:rsidRDefault="00FD6FB5">
      <w:pPr>
        <w:suppressAutoHyphens/>
        <w:ind w:left="1440" w:hanging="540"/>
      </w:pPr>
      <w:r>
        <w:t>c)</w:t>
      </w:r>
      <w:r>
        <w:tab/>
        <w:t>Any project which results in the offset thresholds being exceeded,</w:t>
      </w:r>
    </w:p>
    <w:p w:rsidR="00FD6FB5" w:rsidRDefault="00FD6FB5">
      <w:pPr>
        <w:suppressAutoHyphens/>
        <w:ind w:left="1440" w:hanging="540"/>
      </w:pPr>
      <w:r>
        <w:t>d)</w:t>
      </w:r>
      <w:r>
        <w:tab/>
        <w:t>New emission units with an PE of greater than 100 pounds during any one day for any one pollutant, and/or</w:t>
      </w:r>
    </w:p>
    <w:p w:rsidR="00FD6FB5" w:rsidRDefault="00FD6FB5" w:rsidP="00A22732">
      <w:pPr>
        <w:pStyle w:val="BodyTextIndent2"/>
        <w:suppressAutoHyphens/>
        <w:ind w:left="180" w:firstLine="720"/>
        <w:rPr>
          <w:snapToGrid/>
        </w:rPr>
      </w:pPr>
      <w:r>
        <w:t>e)</w:t>
      </w:r>
      <w:r>
        <w:tab/>
      </w:r>
      <w:r>
        <w:rPr>
          <w:snapToGrid/>
        </w:rPr>
        <w:t>Any project with an SSIPE of greater than 20,000 lb/year for any</w:t>
      </w:r>
      <w:r w:rsidR="00A22732">
        <w:rPr>
          <w:snapToGrid/>
        </w:rPr>
        <w:t xml:space="preserve"> </w:t>
      </w:r>
      <w:r>
        <w:rPr>
          <w:snapToGrid/>
        </w:rPr>
        <w:t>pollutant.</w:t>
      </w:r>
    </w:p>
    <w:p w:rsidR="00FD6FB5" w:rsidRDefault="00FD6FB5">
      <w:pPr>
        <w:suppressAutoHyphens/>
      </w:pPr>
    </w:p>
    <w:p w:rsidR="00FD6FB5" w:rsidRDefault="00FD6FB5">
      <w:pPr>
        <w:suppressAutoHyphens/>
        <w:ind w:left="1440"/>
        <w:jc w:val="both"/>
      </w:pPr>
      <w:r>
        <w:rPr>
          <w:b/>
        </w:rPr>
        <w:t>a)</w:t>
      </w:r>
      <w:r>
        <w:rPr>
          <w:b/>
        </w:rPr>
        <w:tab/>
        <w:t xml:space="preserve"> Major Source</w:t>
      </w:r>
    </w:p>
    <w:p w:rsidR="00FD6FB5" w:rsidRDefault="00FD6FB5">
      <w:pPr>
        <w:suppressAutoHyphens/>
        <w:ind w:left="2160"/>
        <w:jc w:val="both"/>
        <w:rPr>
          <w:spacing w:val="-3"/>
        </w:rPr>
      </w:pPr>
    </w:p>
    <w:p w:rsidR="00FD6FB5" w:rsidRDefault="00FD6FB5">
      <w:pPr>
        <w:pStyle w:val="BodyTextIndent3"/>
      </w:pPr>
      <w:r>
        <w:t>The following table compares the pre-project and post-project facility-wide annual emissions in order to determine if this facility is already an existing Major Source or if the facility is becoming a new Major Source as a result of this project.</w:t>
      </w:r>
    </w:p>
    <w:p w:rsidR="00FD6FB5" w:rsidRDefault="00FD6FB5">
      <w:pPr>
        <w:suppressAutoHyphens/>
        <w:ind w:left="1800"/>
        <w:jc w:val="both"/>
      </w:pPr>
    </w:p>
    <w:tbl>
      <w:tblPr>
        <w:tblW w:w="0" w:type="auto"/>
        <w:tblInd w:w="1562" w:type="dxa"/>
        <w:tblLayout w:type="fixed"/>
        <w:tblCellMar>
          <w:left w:w="122" w:type="dxa"/>
          <w:right w:w="122" w:type="dxa"/>
        </w:tblCellMar>
        <w:tblLook w:val="0000" w:firstRow="0" w:lastRow="0" w:firstColumn="0" w:lastColumn="0" w:noHBand="0" w:noVBand="0"/>
      </w:tblPr>
      <w:tblGrid>
        <w:gridCol w:w="1776"/>
        <w:gridCol w:w="1420"/>
        <w:gridCol w:w="1365"/>
        <w:gridCol w:w="1890"/>
        <w:gridCol w:w="1469"/>
      </w:tblGrid>
      <w:tr w:rsidR="00FD6FB5" w:rsidTr="006B0360">
        <w:trPr>
          <w:cantSplit/>
          <w:trHeight w:val="299"/>
        </w:trPr>
        <w:tc>
          <w:tcPr>
            <w:tcW w:w="7920" w:type="dxa"/>
            <w:gridSpan w:val="5"/>
            <w:tcBorders>
              <w:top w:val="double" w:sz="6" w:space="0" w:color="auto"/>
              <w:left w:val="double" w:sz="6" w:space="0" w:color="auto"/>
              <w:bottom w:val="double" w:sz="6" w:space="0" w:color="auto"/>
              <w:right w:val="double" w:sz="6" w:space="0" w:color="auto"/>
            </w:tcBorders>
            <w:shd w:val="clear" w:color="auto" w:fill="auto"/>
            <w:vAlign w:val="center"/>
          </w:tcPr>
          <w:p w:rsidR="00FD6FB5" w:rsidRPr="007009EE" w:rsidRDefault="00FD6FB5" w:rsidP="009A4D6E">
            <w:pPr>
              <w:suppressAutoHyphens/>
              <w:spacing w:before="40" w:after="40"/>
              <w:jc w:val="center"/>
              <w:rPr>
                <w:b/>
                <w:bCs/>
                <w:spacing w:val="-3"/>
                <w:sz w:val="22"/>
                <w:szCs w:val="22"/>
              </w:rPr>
            </w:pPr>
            <w:r w:rsidRPr="007009EE">
              <w:rPr>
                <w:b/>
                <w:bCs/>
                <w:noProof/>
                <w:spacing w:val="-3"/>
                <w:sz w:val="22"/>
                <w:szCs w:val="22"/>
              </w:rPr>
              <w:t>Major Source Applicability</w:t>
            </w:r>
          </w:p>
        </w:tc>
      </w:tr>
      <w:tr w:rsidR="00FD6FB5" w:rsidTr="00575356">
        <w:trPr>
          <w:trHeight w:val="455"/>
        </w:trPr>
        <w:tc>
          <w:tcPr>
            <w:tcW w:w="1776" w:type="dxa"/>
            <w:tcBorders>
              <w:top w:val="double" w:sz="6" w:space="0" w:color="auto"/>
              <w:left w:val="double" w:sz="6" w:space="0" w:color="auto"/>
              <w:bottom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Pollutant</w:t>
            </w:r>
          </w:p>
        </w:tc>
        <w:tc>
          <w:tcPr>
            <w:tcW w:w="1420" w:type="dxa"/>
            <w:tcBorders>
              <w:top w:val="double" w:sz="6" w:space="0" w:color="auto"/>
              <w:left w:val="single" w:sz="6" w:space="0" w:color="auto"/>
              <w:bottom w:val="double" w:sz="6" w:space="0" w:color="auto"/>
            </w:tcBorders>
            <w:shd w:val="clear" w:color="auto" w:fill="auto"/>
          </w:tcPr>
          <w:p w:rsidR="00FD6FB5" w:rsidRPr="007009EE" w:rsidRDefault="00FD6FB5">
            <w:pPr>
              <w:suppressAutoHyphens/>
              <w:jc w:val="center"/>
              <w:rPr>
                <w:b/>
                <w:bCs/>
                <w:spacing w:val="-3"/>
                <w:sz w:val="22"/>
                <w:szCs w:val="22"/>
              </w:rPr>
            </w:pPr>
            <w:r w:rsidRPr="007009EE">
              <w:rPr>
                <w:b/>
                <w:bCs/>
                <w:spacing w:val="-3"/>
                <w:sz w:val="22"/>
                <w:szCs w:val="22"/>
              </w:rPr>
              <w:t>SSPE1</w:t>
            </w:r>
          </w:p>
          <w:p w:rsidR="00FD6FB5" w:rsidRPr="007009EE" w:rsidRDefault="00FD6FB5">
            <w:pPr>
              <w:suppressAutoHyphens/>
              <w:jc w:val="center"/>
              <w:rPr>
                <w:b/>
                <w:bCs/>
                <w:spacing w:val="-3"/>
                <w:sz w:val="22"/>
                <w:szCs w:val="22"/>
              </w:rPr>
            </w:pPr>
            <w:r w:rsidRPr="007009EE">
              <w:rPr>
                <w:b/>
                <w:bCs/>
                <w:spacing w:val="-3"/>
                <w:sz w:val="22"/>
                <w:szCs w:val="22"/>
              </w:rPr>
              <w:t>(lb/yr)</w:t>
            </w:r>
          </w:p>
        </w:tc>
        <w:tc>
          <w:tcPr>
            <w:tcW w:w="1365" w:type="dxa"/>
            <w:tcBorders>
              <w:top w:val="double" w:sz="6" w:space="0" w:color="auto"/>
              <w:left w:val="single" w:sz="6" w:space="0" w:color="auto"/>
              <w:bottom w:val="double" w:sz="6" w:space="0" w:color="auto"/>
            </w:tcBorders>
            <w:shd w:val="clear" w:color="auto" w:fill="auto"/>
          </w:tcPr>
          <w:p w:rsidR="00FD6FB5" w:rsidRPr="007009EE" w:rsidRDefault="00FD6FB5">
            <w:pPr>
              <w:suppressAutoHyphens/>
              <w:jc w:val="center"/>
              <w:rPr>
                <w:b/>
                <w:bCs/>
                <w:spacing w:val="-3"/>
                <w:sz w:val="22"/>
                <w:szCs w:val="22"/>
              </w:rPr>
            </w:pPr>
            <w:r w:rsidRPr="007009EE">
              <w:rPr>
                <w:b/>
                <w:bCs/>
                <w:spacing w:val="-3"/>
                <w:sz w:val="22"/>
                <w:szCs w:val="22"/>
              </w:rPr>
              <w:t>SSPE2</w:t>
            </w:r>
          </w:p>
          <w:p w:rsidR="00FD6FB5" w:rsidRPr="007009EE" w:rsidRDefault="00FD6FB5">
            <w:pPr>
              <w:suppressAutoHyphens/>
              <w:jc w:val="center"/>
              <w:rPr>
                <w:b/>
                <w:bCs/>
                <w:spacing w:val="-3"/>
                <w:sz w:val="22"/>
                <w:szCs w:val="22"/>
              </w:rPr>
            </w:pPr>
            <w:r w:rsidRPr="007009EE">
              <w:rPr>
                <w:b/>
                <w:bCs/>
                <w:spacing w:val="-3"/>
                <w:sz w:val="22"/>
                <w:szCs w:val="22"/>
              </w:rPr>
              <w:t>(lb/yr)</w:t>
            </w:r>
          </w:p>
        </w:tc>
        <w:tc>
          <w:tcPr>
            <w:tcW w:w="1890" w:type="dxa"/>
            <w:tcBorders>
              <w:top w:val="double" w:sz="6" w:space="0" w:color="auto"/>
              <w:left w:val="single" w:sz="6" w:space="0" w:color="auto"/>
              <w:bottom w:val="double" w:sz="6" w:space="0" w:color="auto"/>
            </w:tcBorders>
            <w:shd w:val="clear" w:color="auto" w:fill="auto"/>
          </w:tcPr>
          <w:p w:rsidR="00FD6FB5" w:rsidRPr="007009EE" w:rsidRDefault="00FD6FB5">
            <w:pPr>
              <w:suppressAutoHyphens/>
              <w:jc w:val="center"/>
              <w:rPr>
                <w:b/>
                <w:bCs/>
                <w:spacing w:val="-3"/>
                <w:sz w:val="22"/>
                <w:szCs w:val="22"/>
              </w:rPr>
            </w:pPr>
            <w:r w:rsidRPr="007009EE">
              <w:rPr>
                <w:b/>
                <w:bCs/>
                <w:spacing w:val="-3"/>
                <w:sz w:val="22"/>
                <w:szCs w:val="22"/>
              </w:rPr>
              <w:t>Major Source Levels (lb/yr)</w:t>
            </w:r>
          </w:p>
        </w:tc>
        <w:tc>
          <w:tcPr>
            <w:tcW w:w="1469" w:type="dxa"/>
            <w:tcBorders>
              <w:top w:val="double" w:sz="6" w:space="0" w:color="auto"/>
              <w:left w:val="single" w:sz="6" w:space="0" w:color="auto"/>
              <w:bottom w:val="double" w:sz="6" w:space="0" w:color="auto"/>
              <w:right w:val="double" w:sz="6" w:space="0" w:color="auto"/>
            </w:tcBorders>
            <w:shd w:val="clear" w:color="auto" w:fill="auto"/>
          </w:tcPr>
          <w:p w:rsidR="00FD6FB5" w:rsidRPr="007009EE" w:rsidRDefault="00FD6FB5">
            <w:pPr>
              <w:suppressAutoHyphens/>
              <w:jc w:val="center"/>
              <w:rPr>
                <w:b/>
                <w:bCs/>
                <w:spacing w:val="-3"/>
                <w:sz w:val="22"/>
                <w:szCs w:val="22"/>
              </w:rPr>
            </w:pPr>
            <w:r w:rsidRPr="007009EE">
              <w:rPr>
                <w:b/>
                <w:bCs/>
                <w:spacing w:val="-3"/>
                <w:sz w:val="22"/>
                <w:szCs w:val="22"/>
              </w:rPr>
              <w:t>Major Source?</w:t>
            </w:r>
          </w:p>
        </w:tc>
      </w:tr>
      <w:tr w:rsidR="00FD6FB5" w:rsidTr="00575356">
        <w:tc>
          <w:tcPr>
            <w:tcW w:w="1776" w:type="dxa"/>
            <w:tcBorders>
              <w:top w:val="doub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lastRenderedPageBreak/>
              <w:t>NO</w:t>
            </w:r>
            <w:r w:rsidRPr="007009EE">
              <w:rPr>
                <w:noProof/>
                <w:spacing w:val="-3"/>
                <w:sz w:val="22"/>
                <w:szCs w:val="22"/>
                <w:vertAlign w:val="subscript"/>
              </w:rPr>
              <w:t>x</w:t>
            </w:r>
          </w:p>
        </w:tc>
        <w:tc>
          <w:tcPr>
            <w:tcW w:w="1420" w:type="dxa"/>
            <w:tcBorders>
              <w:top w:val="doub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365" w:type="dxa"/>
            <w:tcBorders>
              <w:top w:val="doub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tcBorders>
              <w:top w:val="double" w:sz="6" w:space="0" w:color="auto"/>
              <w:left w:val="single" w:sz="6" w:space="0" w:color="auto"/>
            </w:tcBorders>
            <w:shd w:val="clear" w:color="auto" w:fill="auto"/>
          </w:tcPr>
          <w:p w:rsidR="00FD6FB5" w:rsidRPr="007009EE" w:rsidRDefault="00EE1FEE">
            <w:pPr>
              <w:suppressAutoHyphens/>
              <w:jc w:val="center"/>
              <w:rPr>
                <w:color w:val="000000"/>
                <w:spacing w:val="-3"/>
                <w:sz w:val="22"/>
                <w:szCs w:val="22"/>
              </w:rPr>
            </w:pPr>
            <w:r w:rsidRPr="007009EE">
              <w:rPr>
                <w:color w:val="000000"/>
                <w:spacing w:val="-3"/>
                <w:sz w:val="22"/>
                <w:szCs w:val="22"/>
              </w:rPr>
              <w:t>2</w:t>
            </w:r>
            <w:r w:rsidR="00FD6FB5" w:rsidRPr="007009EE">
              <w:rPr>
                <w:color w:val="000000"/>
                <w:spacing w:val="-3"/>
                <w:sz w:val="22"/>
                <w:szCs w:val="22"/>
              </w:rPr>
              <w:t>0,000</w:t>
            </w:r>
          </w:p>
        </w:tc>
        <w:tc>
          <w:tcPr>
            <w:tcW w:w="1469" w:type="dxa"/>
            <w:tcBorders>
              <w:top w:val="doub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c>
          <w:tcPr>
            <w:tcW w:w="1776"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SO</w:t>
            </w:r>
            <w:r w:rsidRPr="007009EE">
              <w:rPr>
                <w:noProof/>
                <w:spacing w:val="-3"/>
                <w:sz w:val="22"/>
                <w:szCs w:val="22"/>
                <w:vertAlign w:val="subscript"/>
              </w:rPr>
              <w:t>x</w:t>
            </w:r>
          </w:p>
        </w:tc>
        <w:tc>
          <w:tcPr>
            <w:tcW w:w="1420"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365"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tcBorders>
              <w:top w:val="single" w:sz="6" w:space="0" w:color="auto"/>
              <w:left w:val="single" w:sz="6"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140,000</w:t>
            </w:r>
          </w:p>
        </w:tc>
        <w:tc>
          <w:tcPr>
            <w:tcW w:w="1469" w:type="dxa"/>
            <w:tcBorders>
              <w:top w:val="sing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c>
          <w:tcPr>
            <w:tcW w:w="1776"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PM</w:t>
            </w:r>
            <w:r w:rsidRPr="007009EE">
              <w:rPr>
                <w:spacing w:val="-3"/>
                <w:sz w:val="22"/>
                <w:szCs w:val="22"/>
                <w:vertAlign w:val="subscript"/>
              </w:rPr>
              <w:t>10</w:t>
            </w:r>
          </w:p>
        </w:tc>
        <w:tc>
          <w:tcPr>
            <w:tcW w:w="1420"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365"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tcBorders>
              <w:top w:val="single" w:sz="6" w:space="0" w:color="auto"/>
              <w:left w:val="single" w:sz="6"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140,000</w:t>
            </w:r>
          </w:p>
        </w:tc>
        <w:tc>
          <w:tcPr>
            <w:tcW w:w="1469" w:type="dxa"/>
            <w:tcBorders>
              <w:top w:val="sing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c>
          <w:tcPr>
            <w:tcW w:w="1776"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CO</w:t>
            </w:r>
          </w:p>
        </w:tc>
        <w:tc>
          <w:tcPr>
            <w:tcW w:w="1420"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365" w:type="dxa"/>
            <w:tcBorders>
              <w:top w:val="single" w:sz="6"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tcBorders>
              <w:top w:val="single" w:sz="6" w:space="0" w:color="auto"/>
              <w:left w:val="single" w:sz="6"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200,000</w:t>
            </w:r>
          </w:p>
        </w:tc>
        <w:tc>
          <w:tcPr>
            <w:tcW w:w="1469" w:type="dxa"/>
            <w:tcBorders>
              <w:top w:val="sing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c>
          <w:tcPr>
            <w:tcW w:w="1776" w:type="dxa"/>
            <w:tcBorders>
              <w:top w:val="single" w:sz="6" w:space="0" w:color="auto"/>
              <w:left w:val="double" w:sz="6" w:space="0" w:color="auto"/>
              <w:bottom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VOC</w:t>
            </w:r>
          </w:p>
        </w:tc>
        <w:tc>
          <w:tcPr>
            <w:tcW w:w="1420" w:type="dxa"/>
            <w:tcBorders>
              <w:top w:val="single" w:sz="6" w:space="0" w:color="auto"/>
              <w:left w:val="single" w:sz="6" w:space="0" w:color="auto"/>
              <w:bottom w:val="doub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365" w:type="dxa"/>
            <w:tcBorders>
              <w:top w:val="single" w:sz="6" w:space="0" w:color="auto"/>
              <w:left w:val="single" w:sz="6" w:space="0" w:color="auto"/>
              <w:bottom w:val="doub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tcBorders>
              <w:top w:val="single" w:sz="6" w:space="0" w:color="auto"/>
              <w:left w:val="single" w:sz="6" w:space="0" w:color="auto"/>
              <w:bottom w:val="double" w:sz="6" w:space="0" w:color="auto"/>
            </w:tcBorders>
            <w:shd w:val="clear" w:color="auto" w:fill="auto"/>
          </w:tcPr>
          <w:p w:rsidR="00FD6FB5" w:rsidRPr="007009EE" w:rsidRDefault="00EE1FEE">
            <w:pPr>
              <w:suppressAutoHyphens/>
              <w:jc w:val="center"/>
              <w:rPr>
                <w:color w:val="000000"/>
                <w:spacing w:val="-3"/>
                <w:sz w:val="22"/>
                <w:szCs w:val="22"/>
              </w:rPr>
            </w:pPr>
            <w:r w:rsidRPr="007009EE">
              <w:rPr>
                <w:color w:val="000000"/>
                <w:spacing w:val="-3"/>
                <w:sz w:val="22"/>
                <w:szCs w:val="22"/>
              </w:rPr>
              <w:t>2</w:t>
            </w:r>
            <w:r w:rsidR="00FD6FB5" w:rsidRPr="007009EE">
              <w:rPr>
                <w:color w:val="000000"/>
                <w:spacing w:val="-3"/>
                <w:sz w:val="22"/>
                <w:szCs w:val="22"/>
              </w:rPr>
              <w:t>0,000</w:t>
            </w:r>
          </w:p>
        </w:tc>
        <w:tc>
          <w:tcPr>
            <w:tcW w:w="1469" w:type="dxa"/>
            <w:tcBorders>
              <w:top w:val="single" w:sz="6" w:space="0" w:color="auto"/>
              <w:left w:val="single" w:sz="6" w:space="0" w:color="auto"/>
              <w:bottom w:val="double" w:sz="6" w:space="0" w:color="auto"/>
              <w:right w:val="double" w:sz="6"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bl>
    <w:p w:rsidR="00FD6FB5" w:rsidRDefault="00FD6FB5">
      <w:pPr>
        <w:suppressAutoHyphens/>
        <w:ind w:left="2160"/>
        <w:jc w:val="both"/>
      </w:pPr>
    </w:p>
    <w:p w:rsidR="00FD6FB5" w:rsidRPr="006F6EB9" w:rsidRDefault="00FD6FB5">
      <w:pPr>
        <w:suppressAutoHyphens/>
        <w:ind w:left="1440"/>
        <w:jc w:val="both"/>
        <w:rPr>
          <w:color w:val="0000FF"/>
          <w:spacing w:val="-3"/>
        </w:rPr>
      </w:pPr>
      <w:r w:rsidRPr="006F6EB9">
        <w:rPr>
          <w:color w:val="0000FF"/>
          <w:spacing w:val="-3"/>
        </w:rPr>
        <w:t xml:space="preserve">Since none of the criteria pollutants are above the major source levels, public noticing is not required for this project. </w:t>
      </w:r>
    </w:p>
    <w:p w:rsidR="00FD6FB5" w:rsidRDefault="00FD6FB5">
      <w:pPr>
        <w:suppressAutoHyphens/>
        <w:ind w:left="1440"/>
        <w:jc w:val="both"/>
        <w:rPr>
          <w:spacing w:val="-3"/>
        </w:rPr>
      </w:pPr>
    </w:p>
    <w:p w:rsidR="00FD6FB5" w:rsidRDefault="00FD6FB5">
      <w:pPr>
        <w:suppressAutoHyphens/>
        <w:ind w:left="1440"/>
        <w:jc w:val="both"/>
        <w:rPr>
          <w:spacing w:val="-3"/>
        </w:rPr>
      </w:pPr>
      <w:r>
        <w:rPr>
          <w:b/>
        </w:rPr>
        <w:t>b)</w:t>
      </w:r>
      <w:r>
        <w:rPr>
          <w:b/>
        </w:rPr>
        <w:tab/>
      </w:r>
      <w:r w:rsidR="00EE1FEE" w:rsidRPr="00EE1FEE">
        <w:rPr>
          <w:b/>
        </w:rPr>
        <w:t>SB 288 or Federal Major Modification</w:t>
      </w:r>
    </w:p>
    <w:p w:rsidR="00FD6FB5" w:rsidRDefault="00FD6FB5">
      <w:pPr>
        <w:suppressAutoHyphens/>
        <w:ind w:left="2160"/>
        <w:jc w:val="both"/>
        <w:rPr>
          <w:spacing w:val="-3"/>
        </w:rPr>
      </w:pPr>
    </w:p>
    <w:p w:rsidR="00FD6FB5" w:rsidRDefault="00FD6FB5">
      <w:pPr>
        <w:ind w:left="1296" w:firstLine="144"/>
        <w:rPr>
          <w:i/>
          <w:iCs/>
          <w:color w:val="FF0000"/>
        </w:rPr>
      </w:pPr>
      <w:r>
        <w:rPr>
          <w:i/>
          <w:iCs/>
          <w:color w:val="FF0000"/>
        </w:rPr>
        <w:t>[For new stationary sources]</w:t>
      </w:r>
    </w:p>
    <w:p w:rsidR="00FD6FB5" w:rsidRDefault="00FD6FB5">
      <w:pPr>
        <w:ind w:left="1296"/>
      </w:pPr>
    </w:p>
    <w:p w:rsidR="00FD6FB5" w:rsidRDefault="00FD6FB5">
      <w:pPr>
        <w:pStyle w:val="BodyTextIndent3"/>
        <w:suppressAutoHyphens w:val="0"/>
        <w:rPr>
          <w:spacing w:val="0"/>
        </w:rPr>
      </w:pPr>
      <w:r>
        <w:rPr>
          <w:spacing w:val="0"/>
        </w:rPr>
        <w:t>Since this facility is a new stationary source, and is not becoming a major source, a</w:t>
      </w:r>
      <w:r w:rsidR="00EE1FEE">
        <w:rPr>
          <w:spacing w:val="0"/>
        </w:rPr>
        <w:t>n SB288 or Federal Major Modification</w:t>
      </w:r>
      <w:r>
        <w:rPr>
          <w:spacing w:val="0"/>
        </w:rPr>
        <w:t xml:space="preserve"> is not triggered.  Therefore public noticing is not required for this project.</w:t>
      </w:r>
    </w:p>
    <w:p w:rsidR="00FD6FB5" w:rsidRDefault="00FD6FB5">
      <w:pPr>
        <w:ind w:left="1296"/>
        <w:rPr>
          <w:color w:val="0000FF"/>
        </w:rPr>
      </w:pPr>
    </w:p>
    <w:p w:rsidR="00FD6FB5" w:rsidRDefault="00FD6FB5">
      <w:pPr>
        <w:ind w:left="1440"/>
        <w:rPr>
          <w:i/>
          <w:iCs/>
          <w:color w:val="FF0000"/>
        </w:rPr>
      </w:pPr>
      <w:r>
        <w:rPr>
          <w:i/>
          <w:iCs/>
          <w:color w:val="FF0000"/>
        </w:rPr>
        <w:t xml:space="preserve">[For existing non-major stationary sources] </w:t>
      </w:r>
    </w:p>
    <w:p w:rsidR="00FD6FB5" w:rsidRDefault="00FD6FB5">
      <w:pPr>
        <w:ind w:left="1296"/>
      </w:pPr>
    </w:p>
    <w:p w:rsidR="00FD6FB5" w:rsidRDefault="00FD6FB5">
      <w:pPr>
        <w:pStyle w:val="BodyTextIndent3"/>
        <w:suppressAutoHyphens w:val="0"/>
        <w:rPr>
          <w:spacing w:val="0"/>
        </w:rPr>
      </w:pPr>
      <w:r>
        <w:rPr>
          <w:spacing w:val="0"/>
        </w:rPr>
        <w:t xml:space="preserve">This facility is not becoming a major source as a result of this project.  Since for non-major sources, the </w:t>
      </w:r>
      <w:r w:rsidR="00EE1FEE">
        <w:rPr>
          <w:spacing w:val="0"/>
        </w:rPr>
        <w:t>SB288 or Federal Major Modification</w:t>
      </w:r>
      <w:r>
        <w:rPr>
          <w:spacing w:val="0"/>
        </w:rPr>
        <w:t xml:space="preserve"> threshold levels are equivalent to the major source threshold levels, a</w:t>
      </w:r>
      <w:r w:rsidR="00EE1FEE">
        <w:rPr>
          <w:spacing w:val="0"/>
        </w:rPr>
        <w:t xml:space="preserve">n SB288 or a Federal </w:t>
      </w:r>
      <w:r w:rsidR="00F33498">
        <w:rPr>
          <w:spacing w:val="0"/>
        </w:rPr>
        <w:t>M</w:t>
      </w:r>
      <w:r w:rsidR="00EE1FEE">
        <w:rPr>
          <w:spacing w:val="0"/>
        </w:rPr>
        <w:t>ajor Modification</w:t>
      </w:r>
      <w:r>
        <w:rPr>
          <w:spacing w:val="0"/>
        </w:rPr>
        <w:t xml:space="preserve"> is not triggered.  Therefore</w:t>
      </w:r>
      <w:r w:rsidR="00EE1FEE">
        <w:rPr>
          <w:spacing w:val="0"/>
        </w:rPr>
        <w:t>,</w:t>
      </w:r>
      <w:r>
        <w:rPr>
          <w:spacing w:val="0"/>
        </w:rPr>
        <w:t xml:space="preserve"> public noticing is not required for this project.</w:t>
      </w:r>
    </w:p>
    <w:p w:rsidR="00FD6FB5" w:rsidRDefault="00FD6FB5">
      <w:pPr>
        <w:suppressAutoHyphens/>
        <w:ind w:left="1440"/>
        <w:jc w:val="both"/>
        <w:rPr>
          <w:spacing w:val="-3"/>
        </w:rPr>
      </w:pPr>
    </w:p>
    <w:p w:rsidR="00FD6FB5" w:rsidRDefault="00FD6FB5">
      <w:pPr>
        <w:suppressAutoHyphens/>
        <w:ind w:left="1440"/>
        <w:jc w:val="both"/>
        <w:rPr>
          <w:spacing w:val="-3"/>
        </w:rPr>
      </w:pPr>
      <w:r>
        <w:rPr>
          <w:b/>
        </w:rPr>
        <w:t>c)</w:t>
      </w:r>
      <w:r>
        <w:rPr>
          <w:b/>
        </w:rPr>
        <w:tab/>
        <w:t>Offset Threshold</w:t>
      </w:r>
    </w:p>
    <w:p w:rsidR="00FD6FB5" w:rsidRDefault="00FD6FB5">
      <w:pPr>
        <w:suppressAutoHyphens/>
        <w:ind w:left="2160"/>
        <w:jc w:val="both"/>
        <w:rPr>
          <w:spacing w:val="-3"/>
        </w:rPr>
      </w:pPr>
    </w:p>
    <w:p w:rsidR="00FD6FB5" w:rsidRDefault="00FD6FB5">
      <w:pPr>
        <w:pStyle w:val="BodyTextIndent3"/>
      </w:pPr>
      <w:r>
        <w:t>The following table compares the pre-project SSPE1 with the post-project SSPE2 in order to determine if any offset thresholds have been surpassed.</w:t>
      </w:r>
    </w:p>
    <w:p w:rsidR="00FD6FB5" w:rsidRDefault="00FD6FB5">
      <w:pPr>
        <w:suppressAutoHyphens/>
        <w:ind w:left="1800"/>
        <w:jc w:val="both"/>
        <w:rPr>
          <w:spacing w:val="-3"/>
        </w:rPr>
      </w:pPr>
    </w:p>
    <w:tbl>
      <w:tblPr>
        <w:tblW w:w="81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530"/>
        <w:gridCol w:w="1620"/>
        <w:gridCol w:w="1890"/>
        <w:gridCol w:w="1800"/>
      </w:tblGrid>
      <w:tr w:rsidR="00FD6FB5" w:rsidTr="006B0360">
        <w:trPr>
          <w:cantSplit/>
          <w:trHeight w:val="254"/>
        </w:trPr>
        <w:tc>
          <w:tcPr>
            <w:tcW w:w="810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FD6FB5" w:rsidRPr="007009EE" w:rsidRDefault="00FD6FB5" w:rsidP="009A4D6E">
            <w:pPr>
              <w:suppressAutoHyphens/>
              <w:spacing w:before="40" w:after="40"/>
              <w:jc w:val="center"/>
              <w:rPr>
                <w:b/>
                <w:bCs/>
                <w:spacing w:val="-3"/>
                <w:sz w:val="22"/>
                <w:szCs w:val="22"/>
              </w:rPr>
            </w:pPr>
            <w:r w:rsidRPr="007009EE">
              <w:rPr>
                <w:b/>
                <w:bCs/>
                <w:noProof/>
                <w:spacing w:val="-3"/>
                <w:sz w:val="22"/>
                <w:szCs w:val="22"/>
              </w:rPr>
              <w:t>Offset Threshold</w:t>
            </w:r>
          </w:p>
        </w:tc>
      </w:tr>
      <w:tr w:rsidR="00FD6FB5" w:rsidTr="00575356">
        <w:trPr>
          <w:trHeight w:val="434"/>
        </w:trPr>
        <w:tc>
          <w:tcPr>
            <w:tcW w:w="1260" w:type="dxa"/>
            <w:tcBorders>
              <w:top w:val="double" w:sz="4" w:space="0" w:color="auto"/>
              <w:left w:val="double" w:sz="4" w:space="0" w:color="auto"/>
              <w:bottom w:val="double" w:sz="4" w:space="0" w:color="auto"/>
              <w:right w:val="sing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Pollutant</w:t>
            </w:r>
          </w:p>
        </w:tc>
        <w:tc>
          <w:tcPr>
            <w:tcW w:w="1530" w:type="dxa"/>
            <w:tcBorders>
              <w:top w:val="double" w:sz="4" w:space="0" w:color="auto"/>
              <w:left w:val="single" w:sz="6" w:space="0" w:color="auto"/>
              <w:bottom w:val="double" w:sz="4"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SSPE1</w:t>
            </w:r>
          </w:p>
          <w:p w:rsidR="00FD6FB5" w:rsidRPr="007009EE" w:rsidRDefault="00FD6FB5">
            <w:pPr>
              <w:suppressAutoHyphens/>
              <w:jc w:val="center"/>
              <w:rPr>
                <w:b/>
                <w:bCs/>
                <w:spacing w:val="-3"/>
                <w:sz w:val="22"/>
                <w:szCs w:val="22"/>
              </w:rPr>
            </w:pPr>
            <w:r w:rsidRPr="007009EE">
              <w:rPr>
                <w:b/>
                <w:bCs/>
                <w:spacing w:val="-3"/>
                <w:sz w:val="22"/>
                <w:szCs w:val="22"/>
              </w:rPr>
              <w:t>(lb/yr)</w:t>
            </w:r>
          </w:p>
        </w:tc>
        <w:tc>
          <w:tcPr>
            <w:tcW w:w="1620" w:type="dxa"/>
            <w:tcBorders>
              <w:top w:val="double" w:sz="4" w:space="0" w:color="auto"/>
              <w:bottom w:val="double" w:sz="4"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SSPE2</w:t>
            </w:r>
          </w:p>
          <w:p w:rsidR="00FD6FB5" w:rsidRPr="007009EE" w:rsidRDefault="00FD6FB5">
            <w:pPr>
              <w:suppressAutoHyphens/>
              <w:jc w:val="center"/>
              <w:rPr>
                <w:b/>
                <w:bCs/>
                <w:spacing w:val="-3"/>
                <w:sz w:val="22"/>
                <w:szCs w:val="22"/>
              </w:rPr>
            </w:pPr>
            <w:r w:rsidRPr="007009EE">
              <w:rPr>
                <w:b/>
                <w:bCs/>
                <w:spacing w:val="-3"/>
                <w:sz w:val="22"/>
                <w:szCs w:val="22"/>
              </w:rPr>
              <w:t>(lb/yr)</w:t>
            </w:r>
          </w:p>
        </w:tc>
        <w:tc>
          <w:tcPr>
            <w:tcW w:w="1890" w:type="dxa"/>
            <w:tcBorders>
              <w:top w:val="double" w:sz="4" w:space="0" w:color="auto"/>
              <w:bottom w:val="double" w:sz="4"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Offset Levels (lb/yr)</w:t>
            </w:r>
          </w:p>
        </w:tc>
        <w:tc>
          <w:tcPr>
            <w:tcW w:w="1800" w:type="dxa"/>
            <w:tcBorders>
              <w:top w:val="double" w:sz="4" w:space="0" w:color="auto"/>
              <w:bottom w:val="double" w:sz="4" w:space="0" w:color="auto"/>
              <w:right w:val="double" w:sz="4"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Public Notice Required?</w:t>
            </w:r>
          </w:p>
        </w:tc>
      </w:tr>
      <w:tr w:rsidR="00FD6FB5" w:rsidTr="00575356">
        <w:tc>
          <w:tcPr>
            <w:tcW w:w="1260" w:type="dxa"/>
            <w:tcBorders>
              <w:top w:val="double" w:sz="4" w:space="0" w:color="auto"/>
              <w:left w:val="double" w:sz="4" w:space="0" w:color="auto"/>
              <w:right w:val="sing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NO</w:t>
            </w:r>
            <w:r w:rsidRPr="007009EE">
              <w:rPr>
                <w:noProof/>
                <w:spacing w:val="-3"/>
                <w:sz w:val="22"/>
                <w:szCs w:val="22"/>
                <w:vertAlign w:val="subscript"/>
              </w:rPr>
              <w:t>x</w:t>
            </w:r>
          </w:p>
        </w:tc>
        <w:tc>
          <w:tcPr>
            <w:tcW w:w="1530" w:type="dxa"/>
            <w:tcBorders>
              <w:top w:val="double" w:sz="4" w:space="0" w:color="auto"/>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620" w:type="dxa"/>
            <w:tcBorders>
              <w:top w:val="double" w:sz="4"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tcBorders>
              <w:top w:val="double" w:sz="4"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20,000</w:t>
            </w:r>
          </w:p>
        </w:tc>
        <w:tc>
          <w:tcPr>
            <w:tcW w:w="1800" w:type="dxa"/>
            <w:tcBorders>
              <w:top w:val="double" w:sz="4" w:space="0" w:color="auto"/>
              <w:right w:val="double" w:sz="4"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c>
          <w:tcPr>
            <w:tcW w:w="1260" w:type="dxa"/>
            <w:tcBorders>
              <w:left w:val="double" w:sz="4" w:space="0" w:color="auto"/>
              <w:right w:val="sing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SO</w:t>
            </w:r>
            <w:r w:rsidRPr="007009EE">
              <w:rPr>
                <w:noProof/>
                <w:spacing w:val="-3"/>
                <w:sz w:val="22"/>
                <w:szCs w:val="22"/>
                <w:vertAlign w:val="subscript"/>
              </w:rPr>
              <w:t>x</w:t>
            </w:r>
          </w:p>
        </w:tc>
        <w:tc>
          <w:tcPr>
            <w:tcW w:w="1530" w:type="dxa"/>
            <w:tcBorders>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620" w:type="dxa"/>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54,750</w:t>
            </w:r>
          </w:p>
        </w:tc>
        <w:tc>
          <w:tcPr>
            <w:tcW w:w="1800" w:type="dxa"/>
            <w:tcBorders>
              <w:right w:val="double" w:sz="4"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c>
          <w:tcPr>
            <w:tcW w:w="1260" w:type="dxa"/>
            <w:tcBorders>
              <w:left w:val="double" w:sz="4" w:space="0" w:color="auto"/>
              <w:right w:val="sing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PM</w:t>
            </w:r>
            <w:r w:rsidRPr="007009EE">
              <w:rPr>
                <w:spacing w:val="-3"/>
                <w:sz w:val="22"/>
                <w:szCs w:val="22"/>
                <w:vertAlign w:val="subscript"/>
              </w:rPr>
              <w:t>10</w:t>
            </w:r>
          </w:p>
        </w:tc>
        <w:tc>
          <w:tcPr>
            <w:tcW w:w="1530" w:type="dxa"/>
            <w:tcBorders>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620" w:type="dxa"/>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29,200</w:t>
            </w:r>
          </w:p>
        </w:tc>
        <w:tc>
          <w:tcPr>
            <w:tcW w:w="1800" w:type="dxa"/>
            <w:tcBorders>
              <w:right w:val="double" w:sz="4"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c>
          <w:tcPr>
            <w:tcW w:w="1260" w:type="dxa"/>
            <w:tcBorders>
              <w:left w:val="double" w:sz="4" w:space="0" w:color="auto"/>
              <w:right w:val="sing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CO</w:t>
            </w:r>
          </w:p>
        </w:tc>
        <w:tc>
          <w:tcPr>
            <w:tcW w:w="1530" w:type="dxa"/>
            <w:tcBorders>
              <w:left w:val="single" w:sz="6"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620" w:type="dxa"/>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200,000</w:t>
            </w:r>
          </w:p>
        </w:tc>
        <w:tc>
          <w:tcPr>
            <w:tcW w:w="1800" w:type="dxa"/>
            <w:tcBorders>
              <w:right w:val="double" w:sz="4"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r w:rsidR="00FD6FB5" w:rsidTr="00575356">
        <w:tc>
          <w:tcPr>
            <w:tcW w:w="1260" w:type="dxa"/>
            <w:tcBorders>
              <w:left w:val="double" w:sz="4" w:space="0" w:color="auto"/>
              <w:bottom w:val="double" w:sz="4" w:space="0" w:color="auto"/>
              <w:right w:val="sing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VOC</w:t>
            </w:r>
          </w:p>
        </w:tc>
        <w:tc>
          <w:tcPr>
            <w:tcW w:w="1530" w:type="dxa"/>
            <w:tcBorders>
              <w:left w:val="single" w:sz="6" w:space="0" w:color="auto"/>
              <w:bottom w:val="double" w:sz="4"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620" w:type="dxa"/>
            <w:tcBorders>
              <w:bottom w:val="double" w:sz="4" w:space="0" w:color="auto"/>
            </w:tcBorders>
            <w:shd w:val="clear" w:color="auto" w:fill="auto"/>
          </w:tcPr>
          <w:p w:rsidR="00FD6FB5" w:rsidRPr="007009EE" w:rsidRDefault="00FD6FB5">
            <w:pPr>
              <w:suppressAutoHyphens/>
              <w:jc w:val="center"/>
              <w:rPr>
                <w:color w:val="0000FF"/>
                <w:spacing w:val="-3"/>
                <w:sz w:val="22"/>
                <w:szCs w:val="22"/>
              </w:rPr>
            </w:pPr>
            <w:r w:rsidRPr="007009EE">
              <w:rPr>
                <w:color w:val="0000FF"/>
                <w:spacing w:val="-3"/>
                <w:sz w:val="22"/>
                <w:szCs w:val="22"/>
              </w:rPr>
              <w:t>[  ]</w:t>
            </w:r>
          </w:p>
        </w:tc>
        <w:tc>
          <w:tcPr>
            <w:tcW w:w="1890" w:type="dxa"/>
            <w:tcBorders>
              <w:bottom w:val="double" w:sz="4" w:space="0" w:color="auto"/>
            </w:tcBorders>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20,000</w:t>
            </w:r>
          </w:p>
        </w:tc>
        <w:tc>
          <w:tcPr>
            <w:tcW w:w="1800" w:type="dxa"/>
            <w:tcBorders>
              <w:bottom w:val="double" w:sz="4" w:space="0" w:color="auto"/>
              <w:right w:val="double" w:sz="4" w:space="0" w:color="auto"/>
            </w:tcBorders>
            <w:shd w:val="clear" w:color="auto" w:fill="auto"/>
            <w:vAlign w:val="center"/>
          </w:tcPr>
          <w:p w:rsidR="00FD6FB5" w:rsidRPr="007009EE" w:rsidRDefault="00FD6FB5">
            <w:pPr>
              <w:suppressAutoHyphens/>
              <w:jc w:val="center"/>
              <w:rPr>
                <w:spacing w:val="-3"/>
                <w:sz w:val="22"/>
                <w:szCs w:val="22"/>
              </w:rPr>
            </w:pPr>
            <w:r w:rsidRPr="007009EE">
              <w:rPr>
                <w:color w:val="0000FF"/>
                <w:spacing w:val="-3"/>
                <w:sz w:val="22"/>
                <w:szCs w:val="22"/>
              </w:rPr>
              <w:t>[Yes or No]</w:t>
            </w:r>
          </w:p>
        </w:tc>
      </w:tr>
    </w:tbl>
    <w:p w:rsidR="00FD6FB5" w:rsidRDefault="00FD6FB5">
      <w:pPr>
        <w:suppressAutoHyphens/>
        <w:ind w:left="1800"/>
        <w:jc w:val="both"/>
        <w:rPr>
          <w:spacing w:val="-3"/>
        </w:rPr>
      </w:pPr>
    </w:p>
    <w:p w:rsidR="00FD6FB5" w:rsidRPr="007D220D" w:rsidRDefault="00FD6FB5">
      <w:pPr>
        <w:suppressAutoHyphens/>
        <w:ind w:left="1440"/>
        <w:jc w:val="both"/>
        <w:rPr>
          <w:color w:val="0000FF"/>
          <w:spacing w:val="-3"/>
        </w:rPr>
      </w:pPr>
      <w:r w:rsidRPr="007D220D">
        <w:rPr>
          <w:color w:val="0000FF"/>
          <w:spacing w:val="-3"/>
        </w:rPr>
        <w:t xml:space="preserve">Since the SSPE2 does not surpass the offset threshold levels, public noticing is not triggered for this project.  </w:t>
      </w:r>
    </w:p>
    <w:p w:rsidR="00FD6FB5" w:rsidRDefault="00FD6FB5">
      <w:pPr>
        <w:suppressAutoHyphens/>
        <w:ind w:left="1440"/>
        <w:jc w:val="both"/>
        <w:rPr>
          <w:spacing w:val="-3"/>
        </w:rPr>
      </w:pPr>
      <w:r>
        <w:rPr>
          <w:spacing w:val="-3"/>
        </w:rPr>
        <w:tab/>
      </w:r>
    </w:p>
    <w:p w:rsidR="00FD6FB5" w:rsidRDefault="00FD6FB5">
      <w:pPr>
        <w:suppressAutoHyphens/>
        <w:ind w:left="1440"/>
        <w:jc w:val="both"/>
        <w:rPr>
          <w:spacing w:val="-3"/>
        </w:rPr>
      </w:pPr>
      <w:r>
        <w:rPr>
          <w:b/>
        </w:rPr>
        <w:t>d)</w:t>
      </w:r>
      <w:r>
        <w:rPr>
          <w:b/>
        </w:rPr>
        <w:tab/>
        <w:t>PE &gt; 100 lb/day</w:t>
      </w:r>
    </w:p>
    <w:p w:rsidR="00FD6FB5" w:rsidRDefault="00FD6FB5">
      <w:pPr>
        <w:suppressAutoHyphens/>
        <w:ind w:left="2160"/>
        <w:jc w:val="both"/>
        <w:rPr>
          <w:spacing w:val="-3"/>
        </w:rPr>
      </w:pPr>
    </w:p>
    <w:p w:rsidR="00FD6FB5" w:rsidRDefault="00FD6FB5">
      <w:pPr>
        <w:ind w:left="1296" w:firstLine="144"/>
        <w:rPr>
          <w:i/>
          <w:iCs/>
          <w:color w:val="FF0000"/>
        </w:rPr>
      </w:pPr>
      <w:r>
        <w:rPr>
          <w:i/>
          <w:iCs/>
          <w:color w:val="FF0000"/>
        </w:rPr>
        <w:t>[For new stationary sources]</w:t>
      </w:r>
    </w:p>
    <w:p w:rsidR="00FD6FB5" w:rsidRDefault="00FD6FB5">
      <w:pPr>
        <w:suppressAutoHyphens/>
        <w:ind w:left="2160"/>
        <w:jc w:val="both"/>
        <w:rPr>
          <w:spacing w:val="-3"/>
        </w:rPr>
      </w:pPr>
    </w:p>
    <w:p w:rsidR="00FD6FB5" w:rsidRDefault="00FD6FB5">
      <w:pPr>
        <w:suppressAutoHyphens/>
        <w:ind w:left="1440"/>
        <w:jc w:val="both"/>
        <w:rPr>
          <w:spacing w:val="-3"/>
        </w:rPr>
      </w:pPr>
      <w:r>
        <w:rPr>
          <w:rFonts w:cs="Arial"/>
        </w:rPr>
        <w:lastRenderedPageBreak/>
        <w:t xml:space="preserve">For new emissions units, public notification is required if the PE exceeds 100 lb/day for any pollutant.  </w:t>
      </w:r>
      <w:r>
        <w:rPr>
          <w:spacing w:val="-3"/>
        </w:rPr>
        <w:t xml:space="preserve">As shown in section VII.C.2.a, the daily PE </w:t>
      </w:r>
      <w:r w:rsidRPr="007D220D">
        <w:rPr>
          <w:spacing w:val="-3"/>
        </w:rPr>
        <w:t>does not exceed</w:t>
      </w:r>
      <w:r w:rsidRPr="007D220D">
        <w:rPr>
          <w:bCs/>
        </w:rPr>
        <w:t xml:space="preserve"> 100 lb/day</w:t>
      </w:r>
      <w:r w:rsidRPr="007D220D">
        <w:rPr>
          <w:spacing w:val="-3"/>
        </w:rPr>
        <w:t xml:space="preserve"> for any criteria pollutant.  Therefore, public noticing is not</w:t>
      </w:r>
      <w:r>
        <w:rPr>
          <w:spacing w:val="-3"/>
        </w:rPr>
        <w:t xml:space="preserve"> required for this project for exceeding the PE Public Notice Thresholds.</w:t>
      </w:r>
    </w:p>
    <w:p w:rsidR="00FD6FB5" w:rsidRDefault="00FD6FB5">
      <w:pPr>
        <w:suppressAutoHyphens/>
        <w:ind w:left="1440"/>
        <w:jc w:val="both"/>
        <w:rPr>
          <w:spacing w:val="-3"/>
        </w:rPr>
      </w:pPr>
    </w:p>
    <w:p w:rsidR="00FD6FB5" w:rsidRDefault="00FD6FB5">
      <w:pPr>
        <w:tabs>
          <w:tab w:val="left" w:pos="360"/>
        </w:tabs>
        <w:jc w:val="both"/>
        <w:rPr>
          <w:color w:val="FF0000"/>
        </w:rPr>
      </w:pPr>
      <w:r>
        <w:tab/>
      </w:r>
      <w:r>
        <w:tab/>
      </w:r>
      <w:r>
        <w:rPr>
          <w:color w:val="FF0000"/>
        </w:rPr>
        <w:t>OR</w:t>
      </w:r>
    </w:p>
    <w:p w:rsidR="00FD6FB5" w:rsidRDefault="00FD6FB5">
      <w:pPr>
        <w:tabs>
          <w:tab w:val="left" w:pos="360"/>
        </w:tabs>
        <w:jc w:val="both"/>
      </w:pPr>
    </w:p>
    <w:p w:rsidR="00FD6FB5" w:rsidRDefault="00FD6FB5">
      <w:pPr>
        <w:suppressAutoHyphens/>
        <w:ind w:left="1440"/>
        <w:jc w:val="both"/>
        <w:rPr>
          <w:spacing w:val="-3"/>
        </w:rPr>
      </w:pPr>
      <w:r>
        <w:rPr>
          <w:rFonts w:cs="Arial"/>
        </w:rPr>
        <w:t xml:space="preserve">For new emissions units, public notification is required if the PE exceeds 100 lb/day for any pollutant.  </w:t>
      </w:r>
      <w:r>
        <w:rPr>
          <w:spacing w:val="-3"/>
        </w:rPr>
        <w:t>As shown in section VII.C.2.a, the daily PE exceeds</w:t>
      </w:r>
      <w:r>
        <w:rPr>
          <w:bCs/>
        </w:rPr>
        <w:t xml:space="preserve"> 100 lb/day</w:t>
      </w:r>
      <w:r>
        <w:rPr>
          <w:spacing w:val="-3"/>
        </w:rPr>
        <w:t xml:space="preserve"> for </w:t>
      </w:r>
      <w:r>
        <w:rPr>
          <w:color w:val="0000FF"/>
          <w:spacing w:val="-3"/>
        </w:rPr>
        <w:t>[VOC and CO]</w:t>
      </w:r>
      <w:r>
        <w:rPr>
          <w:spacing w:val="-3"/>
        </w:rPr>
        <w:t xml:space="preserve">.  Therefore, public </w:t>
      </w:r>
      <w:r w:rsidRPr="007D220D">
        <w:rPr>
          <w:spacing w:val="-3"/>
        </w:rPr>
        <w:t>noticing is</w:t>
      </w:r>
      <w:r>
        <w:rPr>
          <w:color w:val="0000FF"/>
          <w:spacing w:val="-3"/>
        </w:rPr>
        <w:t xml:space="preserve"> </w:t>
      </w:r>
      <w:r>
        <w:rPr>
          <w:spacing w:val="-3"/>
        </w:rPr>
        <w:t>required for this project for exceeding the PE Public Notice Thresholds.</w:t>
      </w:r>
    </w:p>
    <w:p w:rsidR="00FD6FB5" w:rsidRDefault="00FD6FB5">
      <w:pPr>
        <w:suppressAutoHyphens/>
        <w:ind w:left="810"/>
        <w:jc w:val="both"/>
        <w:rPr>
          <w:color w:val="FF0000"/>
          <w:spacing w:val="-3"/>
        </w:rPr>
      </w:pPr>
    </w:p>
    <w:p w:rsidR="00FD6FB5" w:rsidRDefault="00FD6FB5">
      <w:pPr>
        <w:suppressAutoHyphens/>
        <w:ind w:left="1440"/>
        <w:jc w:val="both"/>
        <w:rPr>
          <w:spacing w:val="-3"/>
        </w:rPr>
      </w:pPr>
      <w:r>
        <w:rPr>
          <w:i/>
          <w:iCs/>
          <w:color w:val="FF0000"/>
        </w:rPr>
        <w:t>[For existing non-major stationary sources]</w:t>
      </w:r>
    </w:p>
    <w:p w:rsidR="00FD6FB5" w:rsidRDefault="00FD6FB5">
      <w:pPr>
        <w:suppressAutoHyphens/>
        <w:ind w:left="2160"/>
        <w:jc w:val="both"/>
        <w:rPr>
          <w:spacing w:val="-3"/>
        </w:rPr>
      </w:pPr>
    </w:p>
    <w:p w:rsidR="00FD6FB5" w:rsidRDefault="00FD6FB5">
      <w:pPr>
        <w:pStyle w:val="BodyTextIndent3"/>
        <w:rPr>
          <w:rFonts w:cs="Arial"/>
          <w:spacing w:val="0"/>
        </w:rPr>
      </w:pPr>
      <w:r>
        <w:rPr>
          <w:rFonts w:cs="Arial"/>
        </w:rPr>
        <w:t xml:space="preserve">For new emissions units, public notification is required if the PE exceeds 100 lb/day for any pollutant.  </w:t>
      </w:r>
      <w:r>
        <w:rPr>
          <w:rFonts w:cs="Arial"/>
          <w:spacing w:val="0"/>
        </w:rPr>
        <w:t>Since this project is a modification to the existing soil remediation operation and not a new emissions unit, public noticing will not be required.</w:t>
      </w:r>
    </w:p>
    <w:p w:rsidR="00FD6FB5" w:rsidRDefault="00FD6FB5">
      <w:pPr>
        <w:suppressAutoHyphens/>
        <w:jc w:val="both"/>
        <w:rPr>
          <w:bCs/>
          <w:spacing w:val="-3"/>
        </w:rPr>
      </w:pPr>
      <w:r>
        <w:rPr>
          <w:bCs/>
          <w:spacing w:val="-3"/>
        </w:rPr>
        <w:tab/>
      </w:r>
      <w:r>
        <w:rPr>
          <w:bCs/>
          <w:spacing w:val="-3"/>
        </w:rPr>
        <w:tab/>
      </w:r>
    </w:p>
    <w:p w:rsidR="00FD6FB5" w:rsidRDefault="00FD6FB5">
      <w:pPr>
        <w:suppressAutoHyphens/>
        <w:ind w:left="1440"/>
        <w:jc w:val="both"/>
        <w:rPr>
          <w:b/>
          <w:spacing w:val="-3"/>
        </w:rPr>
      </w:pPr>
      <w:r>
        <w:rPr>
          <w:b/>
          <w:spacing w:val="-3"/>
        </w:rPr>
        <w:t>e</w:t>
      </w:r>
      <w:r>
        <w:rPr>
          <w:b/>
        </w:rPr>
        <w:t>)</w:t>
      </w:r>
      <w:r>
        <w:rPr>
          <w:b/>
        </w:rPr>
        <w:tab/>
        <w:t>SSIPE &gt; 20,000 lb/yr</w:t>
      </w:r>
    </w:p>
    <w:p w:rsidR="00FD6FB5" w:rsidRDefault="00FD6FB5">
      <w:pPr>
        <w:suppressAutoHyphens/>
        <w:ind w:left="2160"/>
        <w:jc w:val="both"/>
        <w:rPr>
          <w:spacing w:val="-3"/>
        </w:rPr>
      </w:pPr>
    </w:p>
    <w:p w:rsidR="00FD6FB5" w:rsidRDefault="00FD6FB5">
      <w:pPr>
        <w:suppressAutoHyphens/>
        <w:ind w:left="1440"/>
        <w:jc w:val="both"/>
        <w:rPr>
          <w:rFonts w:cs="Arial"/>
          <w:color w:val="000000"/>
          <w:szCs w:val="18"/>
        </w:rPr>
      </w:pPr>
      <w:r>
        <w:t xml:space="preserve">The SSIPE (NEC) is calculated and shown </w:t>
      </w:r>
      <w:r>
        <w:rPr>
          <w:rFonts w:cs="Arial"/>
          <w:color w:val="000000"/>
          <w:szCs w:val="18"/>
        </w:rPr>
        <w:t>as follows:</w:t>
      </w:r>
    </w:p>
    <w:p w:rsidR="00FD6FB5" w:rsidRDefault="00FD6FB5">
      <w:pPr>
        <w:tabs>
          <w:tab w:val="left" w:pos="-720"/>
        </w:tabs>
        <w:suppressAutoHyphens/>
        <w:ind w:left="1440"/>
        <w:jc w:val="both"/>
        <w:rPr>
          <w:spacing w:val="-2"/>
        </w:rPr>
      </w:pPr>
    </w:p>
    <w:p w:rsidR="00FD6FB5" w:rsidRPr="007D220D" w:rsidRDefault="00FD6FB5">
      <w:pPr>
        <w:autoSpaceDE w:val="0"/>
        <w:autoSpaceDN w:val="0"/>
        <w:adjustRightInd w:val="0"/>
        <w:ind w:left="1440"/>
        <w:rPr>
          <w:rFonts w:cs="Arial"/>
          <w:spacing w:val="-2"/>
          <w:szCs w:val="18"/>
        </w:rPr>
      </w:pPr>
      <w:r w:rsidRPr="007D220D">
        <w:rPr>
          <w:b/>
          <w:bCs/>
          <w:spacing w:val="-3"/>
        </w:rPr>
        <w:t>SSIPE</w:t>
      </w:r>
      <w:r w:rsidRPr="007D220D">
        <w:rPr>
          <w:rFonts w:cs="Arial"/>
          <w:b/>
          <w:bCs/>
        </w:rPr>
        <w:t>= SSPE2 – SSPE1</w:t>
      </w:r>
    </w:p>
    <w:p w:rsidR="00FD6FB5" w:rsidRDefault="00FD6FB5">
      <w:pPr>
        <w:autoSpaceDE w:val="0"/>
        <w:autoSpaceDN w:val="0"/>
        <w:adjustRightInd w:val="0"/>
        <w:ind w:left="2160"/>
        <w:rPr>
          <w:rFonts w:cs="Arial"/>
          <w:color w:val="000000"/>
          <w:spacing w:val="-2"/>
          <w:szCs w:val="18"/>
        </w:rPr>
      </w:pPr>
    </w:p>
    <w:tbl>
      <w:tblPr>
        <w:tblW w:w="0" w:type="auto"/>
        <w:tblInd w:w="1562" w:type="dxa"/>
        <w:tblLayout w:type="fixed"/>
        <w:tblCellMar>
          <w:left w:w="122" w:type="dxa"/>
          <w:right w:w="122" w:type="dxa"/>
        </w:tblCellMar>
        <w:tblLook w:val="0000" w:firstRow="0" w:lastRow="0" w:firstColumn="0" w:lastColumn="0" w:noHBand="0" w:noVBand="0"/>
      </w:tblPr>
      <w:tblGrid>
        <w:gridCol w:w="1980"/>
        <w:gridCol w:w="2010"/>
        <w:gridCol w:w="2010"/>
        <w:gridCol w:w="2010"/>
      </w:tblGrid>
      <w:tr w:rsidR="00FD6FB5" w:rsidTr="006B0360">
        <w:trPr>
          <w:cantSplit/>
          <w:trHeight w:val="329"/>
        </w:trPr>
        <w:tc>
          <w:tcPr>
            <w:tcW w:w="8010" w:type="dxa"/>
            <w:gridSpan w:val="4"/>
            <w:tcBorders>
              <w:top w:val="double" w:sz="6" w:space="0" w:color="auto"/>
              <w:left w:val="double" w:sz="6" w:space="0" w:color="auto"/>
              <w:right w:val="double" w:sz="6" w:space="0" w:color="auto"/>
            </w:tcBorders>
            <w:shd w:val="clear" w:color="auto" w:fill="auto"/>
          </w:tcPr>
          <w:p w:rsidR="00FD6FB5" w:rsidRPr="007009EE" w:rsidRDefault="00FD6FB5" w:rsidP="009A4D6E">
            <w:pPr>
              <w:suppressAutoHyphens/>
              <w:spacing w:before="40" w:after="40"/>
              <w:jc w:val="center"/>
              <w:rPr>
                <w:spacing w:val="-3"/>
                <w:sz w:val="22"/>
                <w:szCs w:val="22"/>
              </w:rPr>
            </w:pPr>
            <w:r w:rsidRPr="007009EE">
              <w:rPr>
                <w:b/>
                <w:bCs/>
                <w:spacing w:val="-3"/>
                <w:sz w:val="22"/>
                <w:szCs w:val="22"/>
              </w:rPr>
              <w:t>Stationary Source Increase in Permitted Emissions (SSIPE)</w:t>
            </w:r>
          </w:p>
        </w:tc>
      </w:tr>
      <w:tr w:rsidR="00FD6FB5" w:rsidTr="00575356">
        <w:tc>
          <w:tcPr>
            <w:tcW w:w="1980" w:type="dxa"/>
            <w:tcBorders>
              <w:top w:val="double" w:sz="6" w:space="0" w:color="auto"/>
              <w:left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Pollutant</w:t>
            </w:r>
          </w:p>
        </w:tc>
        <w:tc>
          <w:tcPr>
            <w:tcW w:w="2010" w:type="dxa"/>
            <w:tcBorders>
              <w:top w:val="double" w:sz="6" w:space="0" w:color="auto"/>
              <w:left w:val="sing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SSPE2 (lb/yr)</w:t>
            </w:r>
          </w:p>
        </w:tc>
        <w:tc>
          <w:tcPr>
            <w:tcW w:w="2010" w:type="dxa"/>
            <w:tcBorders>
              <w:top w:val="double" w:sz="6" w:space="0" w:color="auto"/>
              <w:left w:val="sing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b/>
                <w:bCs/>
                <w:spacing w:val="-3"/>
                <w:sz w:val="22"/>
                <w:szCs w:val="22"/>
              </w:rPr>
              <w:t>SSPE1 (lb/yr)</w:t>
            </w:r>
          </w:p>
        </w:tc>
        <w:tc>
          <w:tcPr>
            <w:tcW w:w="2010" w:type="dxa"/>
            <w:tcBorders>
              <w:top w:val="double" w:sz="6" w:space="0" w:color="auto"/>
              <w:left w:val="single" w:sz="6" w:space="0" w:color="auto"/>
              <w:right w:val="double" w:sz="6" w:space="0" w:color="auto"/>
            </w:tcBorders>
            <w:shd w:val="clear" w:color="auto" w:fill="auto"/>
            <w:vAlign w:val="center"/>
          </w:tcPr>
          <w:p w:rsidR="00FD6FB5" w:rsidRPr="007009EE" w:rsidRDefault="00FD6FB5">
            <w:pPr>
              <w:suppressAutoHyphens/>
              <w:jc w:val="center"/>
              <w:rPr>
                <w:b/>
                <w:bCs/>
                <w:spacing w:val="-3"/>
                <w:sz w:val="22"/>
                <w:szCs w:val="22"/>
              </w:rPr>
            </w:pPr>
            <w:r w:rsidRPr="007009EE">
              <w:rPr>
                <w:rFonts w:cs="Arial"/>
                <w:b/>
                <w:bCs/>
                <w:sz w:val="22"/>
                <w:szCs w:val="22"/>
              </w:rPr>
              <w:t xml:space="preserve">SSIPE </w:t>
            </w:r>
            <w:r w:rsidRPr="007009EE">
              <w:rPr>
                <w:b/>
                <w:bCs/>
                <w:spacing w:val="-3"/>
                <w:sz w:val="22"/>
                <w:szCs w:val="22"/>
              </w:rPr>
              <w:t>(lb/yr)</w:t>
            </w:r>
          </w:p>
        </w:tc>
      </w:tr>
      <w:tr w:rsidR="00FD6FB5" w:rsidTr="00575356">
        <w:tc>
          <w:tcPr>
            <w:tcW w:w="1980" w:type="dxa"/>
            <w:tcBorders>
              <w:top w:val="doub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NO</w:t>
            </w:r>
            <w:r w:rsidRPr="007009EE">
              <w:rPr>
                <w:noProof/>
                <w:spacing w:val="-3"/>
                <w:sz w:val="22"/>
                <w:szCs w:val="22"/>
                <w:vertAlign w:val="subscript"/>
              </w:rPr>
              <w:t>x</w:t>
            </w:r>
          </w:p>
        </w:tc>
        <w:tc>
          <w:tcPr>
            <w:tcW w:w="2010" w:type="dxa"/>
            <w:tcBorders>
              <w:top w:val="double" w:sz="6" w:space="0" w:color="auto"/>
              <w:left w:val="sing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double" w:sz="6" w:space="0" w:color="auto"/>
              <w:left w:val="sing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double" w:sz="6" w:space="0" w:color="auto"/>
              <w:left w:val="single" w:sz="6" w:space="0" w:color="auto"/>
              <w:right w:val="doub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r>
      <w:tr w:rsidR="00FD6FB5" w:rsidTr="00575356">
        <w:tc>
          <w:tcPr>
            <w:tcW w:w="1980"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noProof/>
                <w:spacing w:val="-3"/>
                <w:sz w:val="22"/>
                <w:szCs w:val="22"/>
              </w:rPr>
              <w:t>SO</w:t>
            </w:r>
            <w:r w:rsidRPr="007009EE">
              <w:rPr>
                <w:noProof/>
                <w:spacing w:val="-3"/>
                <w:sz w:val="22"/>
                <w:szCs w:val="22"/>
                <w:vertAlign w:val="subscript"/>
              </w:rPr>
              <w:t>x</w:t>
            </w:r>
          </w:p>
        </w:tc>
        <w:tc>
          <w:tcPr>
            <w:tcW w:w="2010" w:type="dxa"/>
            <w:tcBorders>
              <w:top w:val="single" w:sz="6" w:space="0" w:color="auto"/>
              <w:left w:val="sing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single" w:sz="6" w:space="0" w:color="auto"/>
              <w:left w:val="sing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single" w:sz="6" w:space="0" w:color="auto"/>
              <w:left w:val="single" w:sz="6" w:space="0" w:color="auto"/>
              <w:right w:val="doub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r>
      <w:tr w:rsidR="00FD6FB5" w:rsidTr="00575356">
        <w:tc>
          <w:tcPr>
            <w:tcW w:w="1980"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PM</w:t>
            </w:r>
            <w:r w:rsidRPr="007009EE">
              <w:rPr>
                <w:spacing w:val="-3"/>
                <w:sz w:val="22"/>
                <w:szCs w:val="22"/>
                <w:vertAlign w:val="subscript"/>
              </w:rPr>
              <w:t>10</w:t>
            </w:r>
          </w:p>
        </w:tc>
        <w:tc>
          <w:tcPr>
            <w:tcW w:w="2010" w:type="dxa"/>
            <w:tcBorders>
              <w:top w:val="single" w:sz="6" w:space="0" w:color="auto"/>
              <w:left w:val="sing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single" w:sz="6" w:space="0" w:color="auto"/>
              <w:left w:val="sing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single" w:sz="6" w:space="0" w:color="auto"/>
              <w:left w:val="single" w:sz="6" w:space="0" w:color="auto"/>
              <w:right w:val="doub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r>
      <w:tr w:rsidR="00FD6FB5" w:rsidTr="00575356">
        <w:tc>
          <w:tcPr>
            <w:tcW w:w="1980" w:type="dxa"/>
            <w:tcBorders>
              <w:top w:val="single" w:sz="6" w:space="0" w:color="auto"/>
              <w:left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CO</w:t>
            </w:r>
          </w:p>
        </w:tc>
        <w:tc>
          <w:tcPr>
            <w:tcW w:w="2010" w:type="dxa"/>
            <w:tcBorders>
              <w:top w:val="single" w:sz="6" w:space="0" w:color="auto"/>
              <w:left w:val="sing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single" w:sz="6" w:space="0" w:color="auto"/>
              <w:left w:val="sing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single" w:sz="6" w:space="0" w:color="auto"/>
              <w:left w:val="single" w:sz="6" w:space="0" w:color="auto"/>
              <w:right w:val="doub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r>
      <w:tr w:rsidR="00FD6FB5" w:rsidTr="00575356">
        <w:trPr>
          <w:trHeight w:val="224"/>
        </w:trPr>
        <w:tc>
          <w:tcPr>
            <w:tcW w:w="1980" w:type="dxa"/>
            <w:tcBorders>
              <w:top w:val="single" w:sz="6" w:space="0" w:color="auto"/>
              <w:left w:val="double" w:sz="6" w:space="0" w:color="auto"/>
              <w:bottom w:val="double" w:sz="6" w:space="0" w:color="auto"/>
            </w:tcBorders>
            <w:shd w:val="clear" w:color="auto" w:fill="auto"/>
          </w:tcPr>
          <w:p w:rsidR="00FD6FB5" w:rsidRPr="007009EE" w:rsidRDefault="00FD6FB5">
            <w:pPr>
              <w:suppressAutoHyphens/>
              <w:jc w:val="center"/>
              <w:rPr>
                <w:spacing w:val="-3"/>
                <w:sz w:val="22"/>
                <w:szCs w:val="22"/>
              </w:rPr>
            </w:pPr>
            <w:r w:rsidRPr="007009EE">
              <w:rPr>
                <w:spacing w:val="-3"/>
                <w:sz w:val="22"/>
                <w:szCs w:val="22"/>
              </w:rPr>
              <w:t>VOC</w:t>
            </w:r>
          </w:p>
        </w:tc>
        <w:tc>
          <w:tcPr>
            <w:tcW w:w="2010" w:type="dxa"/>
            <w:tcBorders>
              <w:top w:val="single" w:sz="6" w:space="0" w:color="auto"/>
              <w:left w:val="single" w:sz="6" w:space="0" w:color="auto"/>
              <w:bottom w:val="doub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single" w:sz="6" w:space="0" w:color="auto"/>
              <w:left w:val="single" w:sz="6" w:space="0" w:color="auto"/>
              <w:bottom w:val="doub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c>
          <w:tcPr>
            <w:tcW w:w="2010" w:type="dxa"/>
            <w:tcBorders>
              <w:top w:val="single" w:sz="6" w:space="0" w:color="auto"/>
              <w:left w:val="single" w:sz="6" w:space="0" w:color="auto"/>
              <w:bottom w:val="double" w:sz="6" w:space="0" w:color="auto"/>
              <w:right w:val="double" w:sz="6" w:space="0" w:color="auto"/>
            </w:tcBorders>
            <w:shd w:val="clear" w:color="auto" w:fill="auto"/>
          </w:tcPr>
          <w:p w:rsidR="00FD6FB5" w:rsidRPr="007009EE" w:rsidRDefault="00FD6FB5">
            <w:pPr>
              <w:suppressAutoHyphens/>
              <w:jc w:val="center"/>
              <w:rPr>
                <w:spacing w:val="-3"/>
                <w:sz w:val="22"/>
                <w:szCs w:val="22"/>
              </w:rPr>
            </w:pPr>
            <w:r w:rsidRPr="007009EE">
              <w:rPr>
                <w:color w:val="0000FF"/>
                <w:spacing w:val="-3"/>
                <w:sz w:val="22"/>
                <w:szCs w:val="22"/>
              </w:rPr>
              <w:t>[  ]</w:t>
            </w:r>
          </w:p>
        </w:tc>
      </w:tr>
    </w:tbl>
    <w:p w:rsidR="00FD6FB5" w:rsidRDefault="00FD6FB5">
      <w:pPr>
        <w:suppressAutoHyphens/>
        <w:ind w:left="1440"/>
        <w:jc w:val="both"/>
        <w:rPr>
          <w:spacing w:val="-3"/>
        </w:rPr>
      </w:pPr>
    </w:p>
    <w:p w:rsidR="00FD6FB5" w:rsidRDefault="00FD6FB5">
      <w:pPr>
        <w:suppressAutoHyphens/>
        <w:ind w:left="1440"/>
        <w:jc w:val="both"/>
        <w:rPr>
          <w:spacing w:val="-3"/>
        </w:rPr>
      </w:pPr>
      <w:r>
        <w:rPr>
          <w:spacing w:val="-3"/>
        </w:rPr>
        <w:t xml:space="preserve">As shown in the above table, the SSIPE for this project does </w:t>
      </w:r>
      <w:r>
        <w:rPr>
          <w:color w:val="0000FF"/>
          <w:spacing w:val="-3"/>
        </w:rPr>
        <w:t>not</w:t>
      </w:r>
      <w:r>
        <w:rPr>
          <w:spacing w:val="-3"/>
        </w:rPr>
        <w:t xml:space="preserve"> exceed the 20,000 lb/yr public notice threshold.</w:t>
      </w:r>
    </w:p>
    <w:p w:rsidR="00FD6FB5" w:rsidRDefault="00FD6FB5">
      <w:pPr>
        <w:suppressAutoHyphens/>
        <w:ind w:left="2160"/>
        <w:jc w:val="both"/>
        <w:rPr>
          <w:spacing w:val="-3"/>
        </w:rPr>
      </w:pPr>
    </w:p>
    <w:p w:rsidR="00FD6FB5" w:rsidRPr="007D220D" w:rsidRDefault="00FD6FB5">
      <w:pPr>
        <w:suppressAutoHyphens/>
        <w:ind w:left="1440"/>
        <w:jc w:val="both"/>
        <w:rPr>
          <w:spacing w:val="-3"/>
        </w:rPr>
      </w:pPr>
      <w:r w:rsidRPr="007D220D">
        <w:rPr>
          <w:spacing w:val="-3"/>
        </w:rPr>
        <w:t>Therefore, public noticing is not required for SSIPE purposes.</w:t>
      </w:r>
    </w:p>
    <w:p w:rsidR="00FD6FB5" w:rsidRDefault="00FD6FB5">
      <w:pPr>
        <w:suppressAutoHyphens/>
        <w:ind w:left="1440"/>
        <w:jc w:val="both"/>
        <w:rPr>
          <w:spacing w:val="-3"/>
        </w:rPr>
      </w:pPr>
    </w:p>
    <w:p w:rsidR="00FD6FB5" w:rsidRDefault="00FD6FB5">
      <w:pPr>
        <w:suppressAutoHyphens/>
        <w:ind w:firstLine="720"/>
        <w:jc w:val="both"/>
        <w:rPr>
          <w:color w:val="FF0000"/>
          <w:spacing w:val="-3"/>
        </w:rPr>
      </w:pPr>
      <w:r>
        <w:rPr>
          <w:color w:val="FF0000"/>
          <w:spacing w:val="-3"/>
        </w:rPr>
        <w:t>OR</w:t>
      </w:r>
    </w:p>
    <w:p w:rsidR="00FD6FB5" w:rsidRDefault="00FD6FB5">
      <w:pPr>
        <w:suppressAutoHyphens/>
        <w:ind w:left="1440"/>
        <w:jc w:val="both"/>
        <w:rPr>
          <w:spacing w:val="-3"/>
        </w:rPr>
      </w:pPr>
    </w:p>
    <w:p w:rsidR="00FD6FB5" w:rsidRDefault="00FD6FB5">
      <w:pPr>
        <w:suppressAutoHyphens/>
        <w:ind w:left="1440"/>
        <w:jc w:val="both"/>
        <w:rPr>
          <w:spacing w:val="-3"/>
        </w:rPr>
      </w:pPr>
      <w:r>
        <w:rPr>
          <w:spacing w:val="-3"/>
        </w:rPr>
        <w:t>As shown in the above table, the SSIPE for this project exceeds the 20,000 lb/yr public notice threshold.</w:t>
      </w:r>
    </w:p>
    <w:p w:rsidR="00FD6FB5" w:rsidRDefault="00FD6FB5">
      <w:pPr>
        <w:suppressAutoHyphens/>
        <w:ind w:left="2160"/>
        <w:jc w:val="both"/>
        <w:rPr>
          <w:spacing w:val="-3"/>
        </w:rPr>
      </w:pPr>
    </w:p>
    <w:p w:rsidR="00FD6FB5" w:rsidRDefault="00FD6FB5">
      <w:pPr>
        <w:suppressAutoHyphens/>
        <w:ind w:left="1440"/>
        <w:jc w:val="both"/>
        <w:rPr>
          <w:spacing w:val="-3"/>
        </w:rPr>
      </w:pPr>
      <w:r>
        <w:rPr>
          <w:spacing w:val="-3"/>
        </w:rPr>
        <w:t>Therefore, public noticing will be required for SSIPE purposes.</w:t>
      </w:r>
    </w:p>
    <w:p w:rsidR="00FD6FB5" w:rsidRDefault="00FD6FB5">
      <w:pPr>
        <w:suppressAutoHyphens/>
        <w:ind w:left="2160"/>
        <w:jc w:val="both"/>
        <w:rPr>
          <w:spacing w:val="-3"/>
        </w:rPr>
      </w:pPr>
    </w:p>
    <w:p w:rsidR="00FD6FB5" w:rsidRDefault="00FD6FB5">
      <w:pPr>
        <w:suppressAutoHyphens/>
        <w:ind w:left="1260" w:hanging="360"/>
        <w:jc w:val="both"/>
        <w:rPr>
          <w:b/>
          <w:spacing w:val="-3"/>
        </w:rPr>
      </w:pPr>
      <w:r>
        <w:rPr>
          <w:b/>
        </w:rPr>
        <w:t>2.</w:t>
      </w:r>
      <w:r>
        <w:rPr>
          <w:b/>
        </w:rPr>
        <w:tab/>
        <w:t>Public Notice Action</w:t>
      </w:r>
    </w:p>
    <w:p w:rsidR="00FD6FB5" w:rsidRDefault="00FD6FB5">
      <w:pPr>
        <w:suppressAutoHyphens/>
        <w:ind w:left="1440"/>
        <w:jc w:val="both"/>
        <w:rPr>
          <w:spacing w:val="-3"/>
        </w:rPr>
      </w:pPr>
    </w:p>
    <w:p w:rsidR="00FD6FB5" w:rsidRDefault="00FD6FB5">
      <w:pPr>
        <w:suppressAutoHyphens/>
        <w:ind w:left="900"/>
        <w:jc w:val="both"/>
      </w:pPr>
      <w:r>
        <w:rPr>
          <w:spacing w:val="-3"/>
        </w:rPr>
        <w:t>As discussed above, public noticing pursuant to District Rule 22</w:t>
      </w:r>
      <w:r w:rsidR="007D220D">
        <w:rPr>
          <w:spacing w:val="-3"/>
        </w:rPr>
        <w:t>01 is required for this project because</w:t>
      </w:r>
      <w:r>
        <w:rPr>
          <w:spacing w:val="-3"/>
        </w:rPr>
        <w:t xml:space="preserve"> </w:t>
      </w:r>
      <w:r>
        <w:rPr>
          <w:color w:val="0000FF"/>
          <w:spacing w:val="-3"/>
        </w:rPr>
        <w:t>(</w:t>
      </w:r>
      <w:r w:rsidR="007D220D">
        <w:rPr>
          <w:color w:val="0000FF"/>
          <w:spacing w:val="-3"/>
        </w:rPr>
        <w:t>s</w:t>
      </w:r>
      <w:r>
        <w:rPr>
          <w:color w:val="0000FF"/>
          <w:spacing w:val="-3"/>
        </w:rPr>
        <w:t xml:space="preserve">tate the reason </w:t>
      </w:r>
      <w:r w:rsidR="00EE1FEE">
        <w:rPr>
          <w:color w:val="0000FF"/>
          <w:spacing w:val="-3"/>
        </w:rPr>
        <w:t xml:space="preserve">for </w:t>
      </w:r>
      <w:r>
        <w:rPr>
          <w:color w:val="0000FF"/>
          <w:spacing w:val="-3"/>
        </w:rPr>
        <w:t>public notice)</w:t>
      </w:r>
      <w:r w:rsidRPr="007D220D">
        <w:rPr>
          <w:spacing w:val="-3"/>
        </w:rPr>
        <w:t>.</w:t>
      </w:r>
      <w:r>
        <w:rPr>
          <w:color w:val="FF0000"/>
          <w:spacing w:val="-3"/>
        </w:rPr>
        <w:t xml:space="preserve">  </w:t>
      </w:r>
      <w:r>
        <w:t>P</w:t>
      </w:r>
      <w:r>
        <w:rPr>
          <w:rFonts w:cs="Arial"/>
        </w:rPr>
        <w:t>ublic notice documents will be submitted to the California Air Resources Board (CARB) and a public notice will be published in a local newspaper of general circulation prior to the issuance of the ATC for this equipment.</w:t>
      </w:r>
      <w:r>
        <w:t xml:space="preserve"> </w:t>
      </w:r>
    </w:p>
    <w:p w:rsidR="00FD6FB5" w:rsidRDefault="00FD6FB5">
      <w:pPr>
        <w:suppressAutoHyphens/>
        <w:jc w:val="both"/>
      </w:pPr>
    </w:p>
    <w:p w:rsidR="00FD6FB5" w:rsidRDefault="00FD6FB5">
      <w:pPr>
        <w:suppressAutoHyphens/>
        <w:jc w:val="both"/>
        <w:rPr>
          <w:color w:val="FF0000"/>
        </w:rPr>
      </w:pPr>
      <w:r>
        <w:tab/>
      </w:r>
      <w:r>
        <w:rPr>
          <w:color w:val="FF0000"/>
        </w:rPr>
        <w:t>OR</w:t>
      </w:r>
    </w:p>
    <w:p w:rsidR="00FD6FB5" w:rsidRDefault="00FD6FB5">
      <w:pPr>
        <w:suppressAutoHyphens/>
        <w:jc w:val="both"/>
      </w:pPr>
    </w:p>
    <w:p w:rsidR="00FD6FB5" w:rsidRDefault="00FD6FB5">
      <w:pPr>
        <w:suppressAutoHyphens/>
        <w:ind w:left="900"/>
        <w:jc w:val="both"/>
      </w:pPr>
      <w:r>
        <w:t xml:space="preserve">This project will not result in emissions for any criteria pollutant which would subject these emission units to any of the noticing requirements listed above.  Therefore, public notice will not be required for this project.  </w:t>
      </w:r>
    </w:p>
    <w:p w:rsidR="00FD6FB5" w:rsidRDefault="00FD6FB5">
      <w:pPr>
        <w:suppressAutoHyphens/>
        <w:ind w:left="1440"/>
        <w:jc w:val="both"/>
        <w:rPr>
          <w:spacing w:val="-3"/>
        </w:rPr>
      </w:pPr>
    </w:p>
    <w:p w:rsidR="00FD6FB5" w:rsidRDefault="00FD6FB5">
      <w:pPr>
        <w:suppressAutoHyphens/>
        <w:ind w:left="900" w:hanging="360"/>
        <w:jc w:val="both"/>
        <w:rPr>
          <w:spacing w:val="-3"/>
        </w:rPr>
      </w:pPr>
      <w:r>
        <w:rPr>
          <w:b/>
          <w:spacing w:val="-3"/>
        </w:rPr>
        <w:t>D.</w:t>
      </w:r>
      <w:r>
        <w:rPr>
          <w:b/>
          <w:spacing w:val="-3"/>
        </w:rPr>
        <w:tab/>
        <w:t>Daily Emissions Limits (DEL)</w:t>
      </w:r>
    </w:p>
    <w:p w:rsidR="00FD6FB5" w:rsidRDefault="00FD6FB5">
      <w:pPr>
        <w:suppressAutoHyphens/>
        <w:ind w:left="720"/>
        <w:jc w:val="both"/>
        <w:rPr>
          <w:spacing w:val="-3"/>
        </w:rPr>
      </w:pPr>
    </w:p>
    <w:p w:rsidR="00FD6FB5" w:rsidRDefault="00FD6FB5">
      <w:pPr>
        <w:suppressAutoHyphens/>
        <w:ind w:left="900"/>
        <w:jc w:val="both"/>
        <w:rPr>
          <w:spacing w:val="-3"/>
        </w:rPr>
      </w:pPr>
      <w:r>
        <w:t xml:space="preserve">Daily Emission Limits </w:t>
      </w:r>
      <w:r w:rsidR="007D220D">
        <w:t>(DELs)</w:t>
      </w:r>
      <w:r>
        <w:t xml:space="preserve"> are required by section 3.17.  The DELs are required to enforce the applicability of BACT.  For this </w:t>
      </w:r>
      <w:r w:rsidRPr="007D220D">
        <w:t>soil remediation project</w:t>
      </w:r>
      <w:r w:rsidR="007D220D">
        <w:t>,</w:t>
      </w:r>
      <w:r>
        <w:t xml:space="preserve"> the DELs are stated in the form of emission factors</w:t>
      </w:r>
      <w:r w:rsidR="007D220D">
        <w:t xml:space="preserve"> multiplied by the IC engines rated bhp</w:t>
      </w:r>
      <w:r>
        <w:t xml:space="preserve">.  </w:t>
      </w:r>
      <w:r>
        <w:rPr>
          <w:spacing w:val="-3"/>
        </w:rPr>
        <w:t xml:space="preserve">The following conditions will serve </w:t>
      </w:r>
      <w:r w:rsidR="007D220D">
        <w:rPr>
          <w:spacing w:val="-3"/>
        </w:rPr>
        <w:t>to form the</w:t>
      </w:r>
      <w:r>
        <w:rPr>
          <w:spacing w:val="-3"/>
        </w:rPr>
        <w:t xml:space="preserve"> DEL</w:t>
      </w:r>
      <w:r w:rsidR="007D220D">
        <w:rPr>
          <w:spacing w:val="-3"/>
        </w:rPr>
        <w:t>s</w:t>
      </w:r>
      <w:r>
        <w:rPr>
          <w:spacing w:val="-3"/>
        </w:rPr>
        <w:t xml:space="preserve"> for this unit:</w:t>
      </w:r>
    </w:p>
    <w:p w:rsidR="00FD6FB5" w:rsidRDefault="00FD6FB5">
      <w:pPr>
        <w:suppressAutoHyphens/>
        <w:jc w:val="both"/>
        <w:rPr>
          <w:spacing w:val="-3"/>
        </w:rPr>
      </w:pPr>
    </w:p>
    <w:p w:rsidR="00FD6FB5" w:rsidRDefault="00FD6FB5">
      <w:pPr>
        <w:numPr>
          <w:ilvl w:val="0"/>
          <w:numId w:val="30"/>
        </w:numPr>
        <w:tabs>
          <w:tab w:val="left" w:pos="720"/>
          <w:tab w:val="left" w:pos="1260"/>
          <w:tab w:val="num" w:pos="3240"/>
        </w:tabs>
        <w:suppressAutoHyphens/>
        <w:ind w:left="1260" w:hanging="540"/>
        <w:jc w:val="both"/>
        <w:rPr>
          <w:spacing w:val="-3"/>
        </w:rPr>
      </w:pPr>
      <w:r>
        <w:rPr>
          <w:spacing w:val="-3"/>
        </w:rPr>
        <w:t xml:space="preserve">The total VOC emissions from the soil remediation system served by the internal combustion engine shall not exceed </w:t>
      </w:r>
      <w:r>
        <w:rPr>
          <w:color w:val="0000FF"/>
          <w:spacing w:val="-3"/>
        </w:rPr>
        <w:t>[  ]</w:t>
      </w:r>
      <w:r>
        <w:rPr>
          <w:spacing w:val="-3"/>
        </w:rPr>
        <w:t xml:space="preserve"> pounds in any one day.  </w:t>
      </w:r>
      <w:r>
        <w:t>[District Rule 2201]</w:t>
      </w:r>
    </w:p>
    <w:p w:rsidR="00FD6FB5" w:rsidRDefault="00FD6FB5">
      <w:pPr>
        <w:numPr>
          <w:ilvl w:val="0"/>
          <w:numId w:val="30"/>
        </w:numPr>
        <w:tabs>
          <w:tab w:val="left" w:pos="720"/>
          <w:tab w:val="left" w:pos="1260"/>
          <w:tab w:val="num" w:pos="3240"/>
        </w:tabs>
        <w:suppressAutoHyphens/>
        <w:ind w:left="1260" w:hanging="540"/>
        <w:jc w:val="both"/>
        <w:rPr>
          <w:spacing w:val="-3"/>
        </w:rPr>
      </w:pPr>
      <w:r>
        <w:t xml:space="preserve">The emissions from the soil remediation system shall not exceed any of the following limits: 0.249 g-NOx/hp-hr (or </w:t>
      </w:r>
      <w:r>
        <w:rPr>
          <w:color w:val="0000FF"/>
        </w:rPr>
        <w:t xml:space="preserve">20.2 </w:t>
      </w:r>
      <w:r>
        <w:t>ppmv @ 15% O</w:t>
      </w:r>
      <w:r>
        <w:rPr>
          <w:vertAlign w:val="subscript"/>
        </w:rPr>
        <w:t>2</w:t>
      </w:r>
      <w:r>
        <w:t>), 9.957 g-CO/hp-hr (or 1,326.2</w:t>
      </w:r>
      <w:r>
        <w:rPr>
          <w:color w:val="0000FF"/>
        </w:rPr>
        <w:t xml:space="preserve"> </w:t>
      </w:r>
      <w:r>
        <w:t>ppmv @ 15% O2), 0.49 g-VOC/hp-hr (or 114.2</w:t>
      </w:r>
      <w:r>
        <w:rPr>
          <w:color w:val="0000FF"/>
        </w:rPr>
        <w:t xml:space="preserve"> </w:t>
      </w:r>
      <w:r>
        <w:t>ppmv @ 15% O2), 0.268 g-SOx/hp-hr, or 0.327 g-PM</w:t>
      </w:r>
      <w:r>
        <w:rPr>
          <w:vertAlign w:val="subscript"/>
        </w:rPr>
        <w:t>10</w:t>
      </w:r>
      <w:r>
        <w:t xml:space="preserve">/hp-hr. [District Rule 2201 and </w:t>
      </w:r>
      <w:r>
        <w:rPr>
          <w:color w:val="0000FF"/>
        </w:rPr>
        <w:t>Rule 470</w:t>
      </w:r>
      <w:r w:rsidR="00EE1FEE">
        <w:rPr>
          <w:color w:val="0000FF"/>
        </w:rPr>
        <w:t>2</w:t>
      </w:r>
      <w:r>
        <w:t>] N</w:t>
      </w:r>
    </w:p>
    <w:p w:rsidR="00FD6FB5" w:rsidRDefault="00FD6FB5">
      <w:pPr>
        <w:tabs>
          <w:tab w:val="left" w:pos="720"/>
          <w:tab w:val="left" w:pos="1260"/>
          <w:tab w:val="num" w:pos="3240"/>
        </w:tabs>
        <w:suppressAutoHyphens/>
        <w:ind w:left="720"/>
        <w:jc w:val="both"/>
        <w:rPr>
          <w:spacing w:val="-3"/>
        </w:rPr>
      </w:pPr>
    </w:p>
    <w:p w:rsidR="00FD6FB5" w:rsidRDefault="00FD6FB5">
      <w:pPr>
        <w:tabs>
          <w:tab w:val="left" w:pos="720"/>
        </w:tabs>
        <w:suppressAutoHyphens/>
        <w:ind w:left="1440" w:hanging="1440"/>
        <w:jc w:val="both"/>
        <w:rPr>
          <w:u w:val="single"/>
        </w:rPr>
      </w:pPr>
      <w:r>
        <w:rPr>
          <w:bCs/>
          <w:i/>
          <w:iCs/>
          <w:color w:val="0000FF"/>
        </w:rPr>
        <w:tab/>
      </w:r>
      <w:r>
        <w:t xml:space="preserve">E. </w:t>
      </w:r>
      <w:r>
        <w:tab/>
        <w:t>Compliance Assurance</w:t>
      </w:r>
    </w:p>
    <w:p w:rsidR="00FD6FB5" w:rsidRDefault="00FD6FB5">
      <w:pPr>
        <w:suppressAutoHyphens/>
        <w:ind w:left="720"/>
      </w:pPr>
    </w:p>
    <w:p w:rsidR="00FD6FB5" w:rsidRDefault="00FD6FB5">
      <w:pPr>
        <w:suppressAutoHyphens/>
        <w:ind w:left="720"/>
      </w:pPr>
      <w:r>
        <w:t>The following measures shall be taken to ensure continued compliance with District Rules:</w:t>
      </w:r>
    </w:p>
    <w:p w:rsidR="00FD6FB5" w:rsidRDefault="00FD6FB5">
      <w:pPr>
        <w:suppressAutoHyphens/>
        <w:ind w:left="1440"/>
        <w:jc w:val="both"/>
        <w:rPr>
          <w:spacing w:val="-3"/>
        </w:rPr>
      </w:pPr>
    </w:p>
    <w:p w:rsidR="00FD6FB5" w:rsidRDefault="00FD6FB5">
      <w:pPr>
        <w:numPr>
          <w:ilvl w:val="0"/>
          <w:numId w:val="14"/>
        </w:numPr>
        <w:suppressAutoHyphens/>
        <w:jc w:val="both"/>
        <w:rPr>
          <w:b/>
          <w:spacing w:val="-3"/>
        </w:rPr>
      </w:pPr>
      <w:r>
        <w:rPr>
          <w:b/>
          <w:spacing w:val="-3"/>
        </w:rPr>
        <w:t>Source Testing</w:t>
      </w:r>
    </w:p>
    <w:p w:rsidR="00FD6FB5" w:rsidRDefault="00FD6FB5">
      <w:pPr>
        <w:suppressAutoHyphens/>
        <w:ind w:left="1440"/>
        <w:jc w:val="both"/>
        <w:rPr>
          <w:b/>
          <w:spacing w:val="-3"/>
        </w:rPr>
      </w:pPr>
    </w:p>
    <w:p w:rsidR="00FD6FB5" w:rsidRDefault="00FD6FB5">
      <w:pPr>
        <w:pStyle w:val="BodyTextIndent3"/>
      </w:pPr>
      <w:r>
        <w:t xml:space="preserve">Measurements to determine the influent and effluent gas flow rates shall be taken at the initial inspection.  </w:t>
      </w:r>
    </w:p>
    <w:p w:rsidR="00FD6FB5" w:rsidRDefault="00FD6FB5">
      <w:pPr>
        <w:pStyle w:val="BodyTextIndent3"/>
      </w:pPr>
    </w:p>
    <w:p w:rsidR="00FD6FB5" w:rsidRDefault="00FD6FB5">
      <w:pPr>
        <w:pStyle w:val="BodyTextIndent3"/>
        <w:rPr>
          <w:bCs/>
          <w:i/>
          <w:iCs/>
          <w:color w:val="0000FF"/>
        </w:rPr>
      </w:pPr>
      <w:r>
        <w:rPr>
          <w:bCs/>
          <w:i/>
          <w:iCs/>
          <w:color w:val="0000FF"/>
        </w:rPr>
        <w:t>If IC engine is Full-Time &gt; 50</w:t>
      </w:r>
      <w:r w:rsidR="008B2F73">
        <w:rPr>
          <w:bCs/>
          <w:i/>
          <w:iCs/>
          <w:color w:val="0000FF"/>
        </w:rPr>
        <w:t xml:space="preserve"> bhp</w:t>
      </w:r>
      <w:r>
        <w:rPr>
          <w:bCs/>
          <w:i/>
          <w:iCs/>
          <w:color w:val="0000FF"/>
        </w:rPr>
        <w:t xml:space="preserve"> please add the following, otherwise delete:</w:t>
      </w:r>
    </w:p>
    <w:p w:rsidR="00FD6FB5" w:rsidRDefault="00FD6FB5">
      <w:pPr>
        <w:pStyle w:val="BodyTextIndent3"/>
        <w:rPr>
          <w:bCs/>
          <w:i/>
          <w:iCs/>
          <w:color w:val="0000FF"/>
        </w:rPr>
      </w:pPr>
    </w:p>
    <w:p w:rsidR="00FD6FB5" w:rsidRDefault="00FD6FB5">
      <w:pPr>
        <w:suppressAutoHyphens/>
        <w:ind w:left="1440"/>
        <w:rPr>
          <w:rFonts w:cs="Arial"/>
        </w:rPr>
      </w:pPr>
      <w:r>
        <w:rPr>
          <w:rFonts w:cs="Arial"/>
        </w:rPr>
        <w:t>Pursuant to District Rule 470</w:t>
      </w:r>
      <w:r w:rsidR="00EE1FEE">
        <w:rPr>
          <w:rFonts w:cs="Arial"/>
        </w:rPr>
        <w:t>2</w:t>
      </w:r>
      <w:r>
        <w:rPr>
          <w:rFonts w:cs="Arial"/>
        </w:rPr>
        <w:t>, Section 6.3, internal combustion engines shall be required to demonstrate compliance with the NO</w:t>
      </w:r>
      <w:r>
        <w:rPr>
          <w:rFonts w:cs="Arial"/>
          <w:vertAlign w:val="subscript"/>
        </w:rPr>
        <w:t>X</w:t>
      </w:r>
      <w:r>
        <w:rPr>
          <w:rFonts w:cs="Arial"/>
        </w:rPr>
        <w:t xml:space="preserve">, CO and VOC emission limits upon initial start-up and at least once every 24 months thereafter.  </w:t>
      </w:r>
      <w:r>
        <w:t xml:space="preserve">There are no additional federal, state or local source testing requirements for this class and category of operation.  Therefore, </w:t>
      </w:r>
      <w:r>
        <w:rPr>
          <w:color w:val="0000FF"/>
        </w:rPr>
        <w:t xml:space="preserve">Facility Name </w:t>
      </w:r>
      <w:r>
        <w:t>will be required to source test the NO</w:t>
      </w:r>
      <w:r>
        <w:rPr>
          <w:vertAlign w:val="subscript"/>
        </w:rPr>
        <w:t>X</w:t>
      </w:r>
      <w:r>
        <w:t>, CO and VOC emissions from the engine upon initial start-up and at least once every 24 months thereafter.</w:t>
      </w:r>
    </w:p>
    <w:p w:rsidR="00FD6FB5" w:rsidRDefault="00FD6FB5">
      <w:pPr>
        <w:suppressAutoHyphens/>
        <w:ind w:left="1440"/>
        <w:jc w:val="both"/>
        <w:rPr>
          <w:spacing w:val="-3"/>
        </w:rPr>
      </w:pPr>
    </w:p>
    <w:p w:rsidR="00FD6FB5" w:rsidRDefault="00FD6FB5">
      <w:pPr>
        <w:numPr>
          <w:ilvl w:val="0"/>
          <w:numId w:val="14"/>
        </w:numPr>
        <w:suppressAutoHyphens/>
        <w:jc w:val="both"/>
        <w:rPr>
          <w:b/>
          <w:spacing w:val="-3"/>
        </w:rPr>
      </w:pPr>
      <w:r>
        <w:rPr>
          <w:b/>
          <w:spacing w:val="-3"/>
        </w:rPr>
        <w:t>Monitoring</w:t>
      </w:r>
    </w:p>
    <w:p w:rsidR="00FD6FB5" w:rsidRDefault="00FD6FB5">
      <w:pPr>
        <w:suppressAutoHyphens/>
        <w:ind w:left="1440"/>
        <w:jc w:val="both"/>
        <w:rPr>
          <w:spacing w:val="-3"/>
        </w:rPr>
      </w:pPr>
    </w:p>
    <w:p w:rsidR="00FD6FB5" w:rsidRDefault="00FD6FB5">
      <w:pPr>
        <w:suppressAutoHyphens/>
        <w:ind w:left="1440"/>
        <w:jc w:val="both"/>
        <w:rPr>
          <w:spacing w:val="-3"/>
        </w:rPr>
      </w:pPr>
      <w:r>
        <w:rPr>
          <w:spacing w:val="-3"/>
        </w:rPr>
        <w:t xml:space="preserve">Monitoring of influent and exhaust VOC concentrations will be required once a week. </w:t>
      </w:r>
    </w:p>
    <w:p w:rsidR="00FD6FB5" w:rsidRDefault="00FD6FB5">
      <w:pPr>
        <w:suppressAutoHyphens/>
        <w:ind w:left="1440"/>
        <w:jc w:val="both"/>
        <w:rPr>
          <w:spacing w:val="-3"/>
        </w:rPr>
      </w:pPr>
    </w:p>
    <w:p w:rsidR="00FD6FB5" w:rsidRDefault="00FD6FB5">
      <w:pPr>
        <w:suppressAutoHyphens/>
        <w:ind w:left="1440"/>
        <w:jc w:val="both"/>
        <w:rPr>
          <w:bCs/>
          <w:i/>
          <w:iCs/>
          <w:color w:val="0000FF"/>
        </w:rPr>
      </w:pPr>
      <w:r>
        <w:rPr>
          <w:spacing w:val="-3"/>
        </w:rPr>
        <w:t xml:space="preserve"> </w:t>
      </w:r>
      <w:r>
        <w:rPr>
          <w:bCs/>
          <w:i/>
          <w:iCs/>
          <w:color w:val="0000FF"/>
        </w:rPr>
        <w:t>If IC engine is Full-Time &gt; 50</w:t>
      </w:r>
      <w:r w:rsidR="008B2F73">
        <w:rPr>
          <w:bCs/>
          <w:i/>
          <w:iCs/>
          <w:color w:val="0000FF"/>
        </w:rPr>
        <w:t xml:space="preserve"> bhp</w:t>
      </w:r>
      <w:r>
        <w:rPr>
          <w:bCs/>
          <w:i/>
          <w:iCs/>
          <w:color w:val="0000FF"/>
        </w:rPr>
        <w:t xml:space="preserve"> </w:t>
      </w:r>
      <w:r w:rsidR="00EC7546">
        <w:rPr>
          <w:bCs/>
          <w:i/>
          <w:iCs/>
          <w:color w:val="0000FF"/>
        </w:rPr>
        <w:t xml:space="preserve">with add-on exhaust control </w:t>
      </w:r>
      <w:r>
        <w:rPr>
          <w:bCs/>
          <w:i/>
          <w:iCs/>
          <w:color w:val="0000FF"/>
        </w:rPr>
        <w:t>please add the following, otherwise delete:</w:t>
      </w:r>
    </w:p>
    <w:p w:rsidR="00FD6FB5" w:rsidRDefault="00FD6FB5">
      <w:pPr>
        <w:suppressAutoHyphens/>
        <w:ind w:left="1440"/>
        <w:jc w:val="both"/>
        <w:rPr>
          <w:bCs/>
          <w:i/>
          <w:iCs/>
          <w:color w:val="0000FF"/>
        </w:rPr>
      </w:pPr>
    </w:p>
    <w:p w:rsidR="00FD6FB5" w:rsidRDefault="00FD6FB5">
      <w:pPr>
        <w:tabs>
          <w:tab w:val="left" w:pos="-720"/>
          <w:tab w:val="left" w:pos="0"/>
        </w:tabs>
        <w:suppressAutoHyphens/>
        <w:ind w:left="1440"/>
        <w:jc w:val="both"/>
      </w:pPr>
      <w:r>
        <w:t>Pursuant to District Rule 470</w:t>
      </w:r>
      <w:r w:rsidR="00EC7546">
        <w:t>2</w:t>
      </w:r>
      <w:r>
        <w:t xml:space="preserve">, Section </w:t>
      </w:r>
      <w:r w:rsidR="00EC7546">
        <w:t>5.8.1</w:t>
      </w:r>
      <w:r>
        <w:t>, engines shall either install and maintain continuous emissions monitoring equipment for NO</w:t>
      </w:r>
      <w:r>
        <w:rPr>
          <w:vertAlign w:val="subscript"/>
        </w:rPr>
        <w:t>X</w:t>
      </w:r>
      <w:r>
        <w:t>, CO and oxygen, as identified in Rule 1080 (Stack Monitoring), or install and maintain APCO approved alternate monitoring.  For the purpose of compliance with the emission monitoring requirements of the rule, the applicant is proposing to monitor the NO</w:t>
      </w:r>
      <w:r>
        <w:rPr>
          <w:vertAlign w:val="subscript"/>
        </w:rPr>
        <w:t>X</w:t>
      </w:r>
      <w:r>
        <w:t>, CO and O</w:t>
      </w:r>
      <w:r>
        <w:rPr>
          <w:vertAlign w:val="subscript"/>
        </w:rPr>
        <w:t>2</w:t>
      </w:r>
      <w:r>
        <w:t xml:space="preserve"> concentrations from the engine using a portable analyzer.  In accordance with District Policy SSP 1810 (Emissions Monitoring for Rule 4701</w:t>
      </w:r>
      <w:r w:rsidR="00A331EB">
        <w:t xml:space="preserve"> and 4702</w:t>
      </w:r>
      <w:r>
        <w:t xml:space="preserve">, </w:t>
      </w:r>
      <w:r>
        <w:rPr>
          <w:color w:val="0000FF"/>
        </w:rPr>
        <w:t>Alternate Monitoring Scheme A</w:t>
      </w:r>
      <w:r>
        <w:t>), the following conditions will be placed on the ATC and the PTO to assure compliance with the monitoring requirements:</w:t>
      </w:r>
    </w:p>
    <w:p w:rsidR="00FD6FB5" w:rsidRDefault="00FD6FB5">
      <w:pPr>
        <w:suppressAutoHyphens/>
        <w:ind w:left="1440"/>
        <w:jc w:val="both"/>
        <w:rPr>
          <w:spacing w:val="-3"/>
        </w:rPr>
      </w:pPr>
    </w:p>
    <w:p w:rsidR="00FD6FB5" w:rsidRDefault="000F7376">
      <w:pPr>
        <w:ind w:left="2160" w:hanging="720"/>
        <w:jc w:val="both"/>
      </w:pPr>
      <w:r>
        <w:t>1.</w:t>
      </w:r>
      <w:r>
        <w:tab/>
        <w:t>The Permittee shall monitor and record the stack concentration of NO</w:t>
      </w:r>
      <w:r>
        <w:rPr>
          <w:vertAlign w:val="subscript"/>
        </w:rPr>
        <w:t>X</w:t>
      </w:r>
      <w:r>
        <w:t xml:space="preserve"> (as NO</w:t>
      </w:r>
      <w:r>
        <w:rPr>
          <w:vertAlign w:val="subscript"/>
        </w:rPr>
        <w:t>2</w:t>
      </w:r>
      <w:r>
        <w:t>), CO, and O</w:t>
      </w:r>
      <w:r>
        <w:rPr>
          <w:vertAlign w:val="subscript"/>
        </w:rPr>
        <w:t>2</w:t>
      </w:r>
      <w:r>
        <w:t xml:space="preserve"> at least once every calendar quarter using a portable emission monitor that meets District specifications. </w:t>
      </w:r>
      <w:r w:rsidR="00FD6FB5">
        <w:t>[In-stack O</w:t>
      </w:r>
      <w:r w:rsidR="00FD6FB5">
        <w:rPr>
          <w:vertAlign w:val="subscript"/>
        </w:rPr>
        <w:t>2</w:t>
      </w:r>
      <w:r w:rsidR="00FD6FB5">
        <w:t xml:space="preserve"> monitors may be allowed if approved by the APCO.]  Monitoring shall be performed not less than once every month for 12 months if 2 consecutive deviations are observed during quarterly monitoring.  Monitoring shall not be required if the engine is not in operation, i.e. the engine need not be started solely to perform monitoring.  Monitoring shall be performed within 5 days of restarting the engine unless monitoring has been performed within the last month if on a monthly monitoring schedule, or within the last quarter if on a quarterly monitoring schedule. Records must be maintained of the dates of non-operation to validate extended monitoring frequencies. [District Rule </w:t>
      </w:r>
      <w:r w:rsidR="003929CA">
        <w:t>4702</w:t>
      </w:r>
      <w:r w:rsidR="00FD6FB5">
        <w:t>]</w:t>
      </w:r>
    </w:p>
    <w:p w:rsidR="00FD6FB5" w:rsidRDefault="00FD6FB5">
      <w:pPr>
        <w:jc w:val="both"/>
      </w:pPr>
    </w:p>
    <w:p w:rsidR="00FD6FB5" w:rsidRDefault="00FD6FB5">
      <w:pPr>
        <w:ind w:left="2160" w:hanging="720"/>
        <w:jc w:val="both"/>
      </w:pPr>
      <w:r>
        <w:t>2.</w:t>
      </w:r>
      <w:r>
        <w:tab/>
        <w:t>If the NO</w:t>
      </w:r>
      <w:r>
        <w:rPr>
          <w:vertAlign w:val="subscript"/>
        </w:rPr>
        <w:t>X</w:t>
      </w:r>
      <w:r>
        <w:t xml:space="preserve"> or CO concentrations corrected to 15% O</w:t>
      </w:r>
      <w:r>
        <w:rPr>
          <w:vertAlign w:val="subscript"/>
        </w:rPr>
        <w:t>2</w:t>
      </w:r>
      <w:r>
        <w:t>, as measured by the portable analyzer, exceed the permitted emission concentration, the permittee shall return the emissions to within the acceptable range as soon as possible, but no longer than 8 hours after detection.  If the portable analyzer readings continue to exceed the allowable emissions concentration after 8 hours, the permittee shall notify the District within the following 1 hour, and conduct a certified source test within 60 days of the first exceedance.  In lieu of conducting a source test, the permittee may stipulate a violation has occurred, subject to enforcement action.  The permittee must then correct the violation, show compliance has been re-established, and resume monitoring procedures.  If the deviations are the result of a qualifying breakdown condition pursuant to Rule 1100, the permittee may fully comply with Rule 1100 in lieu of the performing the notification and testing required by this condition. [District Rule 4701]</w:t>
      </w:r>
    </w:p>
    <w:p w:rsidR="00FD6FB5" w:rsidRDefault="00FD6FB5">
      <w:pPr>
        <w:jc w:val="both"/>
      </w:pPr>
    </w:p>
    <w:p w:rsidR="00FD6FB5" w:rsidRDefault="00FD6FB5">
      <w:pPr>
        <w:ind w:left="2160" w:hanging="720"/>
        <w:jc w:val="both"/>
      </w:pPr>
      <w:r>
        <w:t>3.</w:t>
      </w:r>
      <w:r>
        <w:tab/>
        <w:t xml:space="preserve">The permittee shall maintain records of: (1) the date and time of </w:t>
      </w:r>
      <w:r>
        <w:rPr>
          <w:spacing w:val="-2"/>
        </w:rPr>
        <w:t>NO</w:t>
      </w:r>
      <w:r>
        <w:rPr>
          <w:spacing w:val="-2"/>
          <w:vertAlign w:val="subscript"/>
        </w:rPr>
        <w:t>X</w:t>
      </w:r>
      <w:r>
        <w:t>, CO, and O</w:t>
      </w:r>
      <w:r>
        <w:rPr>
          <w:vertAlign w:val="subscript"/>
        </w:rPr>
        <w:t>2</w:t>
      </w:r>
      <w:r>
        <w:t xml:space="preserve"> measurements, (2) the O</w:t>
      </w:r>
      <w:r>
        <w:rPr>
          <w:vertAlign w:val="subscript"/>
        </w:rPr>
        <w:t>2</w:t>
      </w:r>
      <w:r>
        <w:t xml:space="preserve"> concentration in percent and the measured NO</w:t>
      </w:r>
      <w:r>
        <w:rPr>
          <w:vertAlign w:val="subscript"/>
        </w:rPr>
        <w:t>X</w:t>
      </w:r>
      <w:r>
        <w:t xml:space="preserve"> and CO concentrations corrected to 15% </w:t>
      </w:r>
      <w:r>
        <w:rPr>
          <w:spacing w:val="-2"/>
        </w:rPr>
        <w:t>O</w:t>
      </w:r>
      <w:r>
        <w:rPr>
          <w:spacing w:val="-2"/>
          <w:vertAlign w:val="subscript"/>
        </w:rPr>
        <w:t>2</w:t>
      </w:r>
      <w:r>
        <w:t>, (3) make and model of exhaust gas analyzer, (4) exhaust gas analyzer calibration records, and (5) a description of any corrective action taken to maintain the emissions within the acceptable range. [District Rule 4701]</w:t>
      </w:r>
    </w:p>
    <w:p w:rsidR="00FD6FB5" w:rsidRDefault="00FD6FB5">
      <w:pPr>
        <w:jc w:val="both"/>
      </w:pPr>
    </w:p>
    <w:p w:rsidR="00FD6FB5" w:rsidRDefault="00FD6FB5">
      <w:pPr>
        <w:ind w:left="2160" w:hanging="720"/>
        <w:jc w:val="both"/>
      </w:pPr>
      <w:r>
        <w:t>4.</w:t>
      </w:r>
      <w:r>
        <w:tab/>
        <w:t>{General Condition 109} Source testing shall be conducted using the methods and procedures approved by the District.  The District must be notified 30 days prior to any compliance source test and a source test plan must be submitted for approval 15 days prior to testing. [District Rule 1081]</w:t>
      </w:r>
    </w:p>
    <w:p w:rsidR="00FD6FB5" w:rsidRDefault="00FD6FB5">
      <w:pPr>
        <w:jc w:val="both"/>
      </w:pPr>
    </w:p>
    <w:p w:rsidR="00FD6FB5" w:rsidRDefault="00FD6FB5">
      <w:pPr>
        <w:ind w:left="2160" w:hanging="720"/>
        <w:jc w:val="both"/>
      </w:pPr>
      <w:r>
        <w:t>5.</w:t>
      </w:r>
      <w:r>
        <w:tab/>
        <w:t>All records shall be retained for a minimum of five years, and shall be made available for District inspection upon request. [District Rule 1070]</w:t>
      </w:r>
    </w:p>
    <w:p w:rsidR="00003C8E" w:rsidRDefault="00003C8E">
      <w:pPr>
        <w:ind w:left="2160" w:hanging="720"/>
        <w:jc w:val="both"/>
      </w:pPr>
    </w:p>
    <w:p w:rsidR="00003C8E" w:rsidRPr="007009EE" w:rsidRDefault="00003C8E" w:rsidP="007009EE">
      <w:pPr>
        <w:ind w:left="1440"/>
        <w:jc w:val="both"/>
        <w:rPr>
          <w:i/>
          <w:color w:val="FF0000"/>
        </w:rPr>
      </w:pPr>
      <w:r>
        <w:rPr>
          <w:i/>
          <w:color w:val="FF0000"/>
        </w:rPr>
        <w:t>(If a different monitoring scheme is proposed and approved, select the appropriate condit</w:t>
      </w:r>
      <w:r w:rsidR="001A46E2">
        <w:rPr>
          <w:i/>
          <w:color w:val="FF0000"/>
        </w:rPr>
        <w:t>i</w:t>
      </w:r>
      <w:r>
        <w:rPr>
          <w:i/>
          <w:color w:val="FF0000"/>
        </w:rPr>
        <w:t>ons from the Alternate Monitoring Policy to replace the above conditions</w:t>
      </w:r>
      <w:r w:rsidR="001A46E2">
        <w:rPr>
          <w:i/>
          <w:color w:val="FF0000"/>
        </w:rPr>
        <w:t>)</w:t>
      </w:r>
    </w:p>
    <w:p w:rsidR="00FD6FB5" w:rsidRDefault="00FD6FB5">
      <w:pPr>
        <w:suppressAutoHyphens/>
        <w:ind w:left="1440"/>
        <w:jc w:val="both"/>
        <w:rPr>
          <w:spacing w:val="-3"/>
        </w:rPr>
      </w:pPr>
    </w:p>
    <w:p w:rsidR="00FD6FB5" w:rsidRDefault="00FD6FB5">
      <w:pPr>
        <w:numPr>
          <w:ilvl w:val="0"/>
          <w:numId w:val="14"/>
        </w:numPr>
        <w:suppressAutoHyphens/>
        <w:jc w:val="both"/>
        <w:rPr>
          <w:b/>
          <w:spacing w:val="-3"/>
        </w:rPr>
      </w:pPr>
      <w:r>
        <w:rPr>
          <w:b/>
          <w:spacing w:val="-3"/>
        </w:rPr>
        <w:t>Record Keeping</w:t>
      </w:r>
    </w:p>
    <w:p w:rsidR="00FD6FB5" w:rsidRDefault="00FD6FB5">
      <w:pPr>
        <w:suppressAutoHyphens/>
        <w:ind w:left="1440"/>
        <w:jc w:val="both"/>
        <w:rPr>
          <w:spacing w:val="-3"/>
        </w:rPr>
      </w:pPr>
    </w:p>
    <w:p w:rsidR="00FD6FB5" w:rsidRDefault="00FD6FB5">
      <w:pPr>
        <w:suppressAutoHyphens/>
        <w:ind w:left="1440"/>
        <w:jc w:val="both"/>
        <w:rPr>
          <w:spacing w:val="-3"/>
        </w:rPr>
      </w:pPr>
      <w:r>
        <w:rPr>
          <w:spacing w:val="-3"/>
        </w:rPr>
        <w:t>The permittee shall maintain records for all monitored data for a period of five years.</w:t>
      </w:r>
    </w:p>
    <w:p w:rsidR="00FD6FB5" w:rsidRDefault="00FD6FB5">
      <w:pPr>
        <w:suppressAutoHyphens/>
        <w:ind w:left="1440"/>
        <w:jc w:val="both"/>
        <w:rPr>
          <w:spacing w:val="-3"/>
        </w:rPr>
      </w:pPr>
    </w:p>
    <w:p w:rsidR="00FD6FB5" w:rsidRDefault="00FD6FB5">
      <w:pPr>
        <w:pStyle w:val="Heading9"/>
        <w:rPr>
          <w:color w:val="0000FF"/>
          <w:u w:val="none"/>
        </w:rPr>
      </w:pPr>
      <w:r>
        <w:rPr>
          <w:color w:val="0000FF"/>
          <w:u w:val="none"/>
        </w:rPr>
        <w:t>Add the following if Alternate Monitoring is required</w:t>
      </w:r>
    </w:p>
    <w:p w:rsidR="00FD6FB5" w:rsidRDefault="00FD6FB5">
      <w:pPr>
        <w:suppressAutoHyphens/>
        <w:ind w:left="1440"/>
        <w:jc w:val="both"/>
        <w:rPr>
          <w:spacing w:val="-3"/>
        </w:rPr>
      </w:pPr>
    </w:p>
    <w:p w:rsidR="00FD6FB5" w:rsidRDefault="00FD6FB5">
      <w:pPr>
        <w:suppressAutoHyphens/>
        <w:ind w:left="1440"/>
        <w:jc w:val="both"/>
        <w:rPr>
          <w:rFonts w:cs="Arial"/>
          <w:spacing w:val="-3"/>
        </w:rPr>
      </w:pPr>
      <w:r>
        <w:rPr>
          <w:rFonts w:cs="Arial"/>
          <w:spacing w:val="-3"/>
        </w:rPr>
        <w:t xml:space="preserve">Permittee shall maintain records of: (1) the date and time of NOX, CO, and O2 measurements, (2) the O2 concentration in percent and the measured NOX and CO concentrations corrected to 15% O2, (3) make and model of exhaust gas analyzer, (4) exhaust gas analyzer calibration records, and (5) a description of any corrective action taken to maintain the emissions within the acceptable range.  </w:t>
      </w:r>
    </w:p>
    <w:p w:rsidR="001A46E2" w:rsidRDefault="001A46E2">
      <w:pPr>
        <w:suppressAutoHyphens/>
        <w:ind w:left="1440"/>
        <w:jc w:val="both"/>
        <w:rPr>
          <w:rFonts w:cs="Arial"/>
          <w:spacing w:val="-3"/>
        </w:rPr>
      </w:pPr>
    </w:p>
    <w:p w:rsidR="00FD6FB5" w:rsidRDefault="001A46E2" w:rsidP="007009EE">
      <w:pPr>
        <w:suppressAutoHyphens/>
        <w:jc w:val="both"/>
        <w:rPr>
          <w:i/>
          <w:color w:val="FF0000"/>
        </w:rPr>
      </w:pPr>
      <w:r>
        <w:rPr>
          <w:i/>
          <w:color w:val="FF0000"/>
        </w:rPr>
        <w:t>(If a different monitoring scheme is proposed and approved, select the appropriate conditions from the Alternate Monitoring Policy to replace the above conditions)</w:t>
      </w:r>
    </w:p>
    <w:p w:rsidR="007205EF" w:rsidRDefault="007205EF" w:rsidP="007009EE">
      <w:pPr>
        <w:suppressAutoHyphens/>
        <w:jc w:val="both"/>
        <w:rPr>
          <w:spacing w:val="-3"/>
        </w:rPr>
      </w:pPr>
    </w:p>
    <w:p w:rsidR="00FD6FB5" w:rsidRDefault="00FD6FB5">
      <w:pPr>
        <w:numPr>
          <w:ilvl w:val="0"/>
          <w:numId w:val="14"/>
        </w:numPr>
        <w:suppressAutoHyphens/>
        <w:jc w:val="both"/>
        <w:rPr>
          <w:b/>
          <w:spacing w:val="-3"/>
        </w:rPr>
      </w:pPr>
      <w:r>
        <w:rPr>
          <w:b/>
          <w:spacing w:val="-3"/>
        </w:rPr>
        <w:t>Reporting</w:t>
      </w:r>
    </w:p>
    <w:p w:rsidR="00FD6FB5" w:rsidRDefault="00FD6FB5">
      <w:pPr>
        <w:suppressAutoHyphens/>
        <w:ind w:left="1440"/>
        <w:jc w:val="both"/>
        <w:rPr>
          <w:spacing w:val="-3"/>
        </w:rPr>
      </w:pPr>
    </w:p>
    <w:p w:rsidR="00FD6FB5" w:rsidRDefault="00FD6FB5">
      <w:pPr>
        <w:suppressAutoHyphens/>
        <w:ind w:left="1440"/>
        <w:jc w:val="both"/>
        <w:rPr>
          <w:spacing w:val="-3"/>
        </w:rPr>
      </w:pPr>
      <w:r>
        <w:rPr>
          <w:spacing w:val="-3"/>
        </w:rPr>
        <w:t>The permittee shall submit initial startup test report and maintain all other monitoring records on site.  Such records shall be made available for District inspection upon request.</w:t>
      </w:r>
    </w:p>
    <w:p w:rsidR="00FD6FB5" w:rsidRDefault="00FD6FB5">
      <w:pPr>
        <w:suppressAutoHyphens/>
        <w:ind w:left="1440"/>
        <w:jc w:val="both"/>
        <w:rPr>
          <w:spacing w:val="-3"/>
        </w:rPr>
      </w:pPr>
    </w:p>
    <w:p w:rsidR="00C679D5" w:rsidRPr="009561B6" w:rsidRDefault="00C679D5" w:rsidP="00C679D5">
      <w:pPr>
        <w:keepNext/>
        <w:outlineLvl w:val="0"/>
        <w:rPr>
          <w:b/>
          <w:bCs/>
          <w:color w:val="000000"/>
        </w:rPr>
      </w:pPr>
      <w:r w:rsidRPr="009561B6">
        <w:rPr>
          <w:b/>
          <w:bCs/>
        </w:rPr>
        <w:t xml:space="preserve">Rule 2410    </w:t>
      </w:r>
      <w:r w:rsidRPr="009561B6">
        <w:rPr>
          <w:b/>
          <w:bCs/>
          <w:color w:val="000000"/>
        </w:rPr>
        <w:t>Prevention of Significant Deterioration</w:t>
      </w:r>
    </w:p>
    <w:p w:rsidR="00C679D5" w:rsidRPr="009561B6" w:rsidRDefault="00C679D5" w:rsidP="00C679D5">
      <w:pPr>
        <w:rPr>
          <w:rFonts w:eastAsia="Arial Unicode MS"/>
        </w:rPr>
      </w:pPr>
    </w:p>
    <w:p w:rsidR="00C679D5" w:rsidRPr="009561B6" w:rsidRDefault="00C679D5" w:rsidP="00C679D5">
      <w:pPr>
        <w:rPr>
          <w:spacing w:val="-3"/>
        </w:rPr>
      </w:pPr>
      <w:r w:rsidRPr="009561B6">
        <w:rPr>
          <w:rFonts w:cs="Arial"/>
          <w:noProof/>
        </w:rPr>
        <w:t xml:space="preserve">As shown in Section </w:t>
      </w:r>
      <w:r>
        <w:rPr>
          <w:rFonts w:cs="Arial"/>
          <w:noProof/>
        </w:rPr>
        <w:t>VII.</w:t>
      </w:r>
      <w:r w:rsidRPr="009561B6">
        <w:rPr>
          <w:rFonts w:cs="Arial"/>
          <w:noProof/>
        </w:rPr>
        <w:t xml:space="preserve">C.9.A </w:t>
      </w:r>
      <w:r>
        <w:rPr>
          <w:rFonts w:cs="Arial"/>
          <w:noProof/>
        </w:rPr>
        <w:t xml:space="preserve">of the </w:t>
      </w:r>
      <w:r w:rsidRPr="009561B6">
        <w:rPr>
          <w:rFonts w:cs="Arial"/>
          <w:noProof/>
        </w:rPr>
        <w:t>above, this is a new facility and the project potential to emit, by itself, does not exceed any of the PSD major source thresholds.  Therefore, this facility is not a PSD source and Rule 2410 does not apply.</w:t>
      </w:r>
    </w:p>
    <w:p w:rsidR="00C679D5" w:rsidRDefault="00C679D5" w:rsidP="009561B6">
      <w:pPr>
        <w:pStyle w:val="Heading6"/>
        <w:ind w:firstLine="0"/>
        <w:rPr>
          <w:rFonts w:cs="Arial"/>
        </w:rPr>
      </w:pPr>
    </w:p>
    <w:p w:rsidR="00FD6FB5" w:rsidRDefault="000F7376" w:rsidP="009561B6">
      <w:pPr>
        <w:pStyle w:val="Heading6"/>
        <w:ind w:firstLine="0"/>
        <w:rPr>
          <w:rFonts w:eastAsia="Arial Unicode MS" w:cs="Arial"/>
          <w:bCs/>
        </w:rPr>
      </w:pPr>
      <w:r>
        <w:rPr>
          <w:rFonts w:cs="Arial"/>
        </w:rPr>
        <w:t>Rule 2520 - Federally Mandated Operating Permits</w:t>
      </w:r>
    </w:p>
    <w:p w:rsidR="00FD6FB5" w:rsidRDefault="00FD6FB5">
      <w:pPr>
        <w:jc w:val="both"/>
        <w:rPr>
          <w:rFonts w:cs="Arial"/>
          <w:bCs/>
          <w:color w:val="000000"/>
        </w:rPr>
      </w:pPr>
      <w:r>
        <w:rPr>
          <w:rFonts w:cs="Arial"/>
          <w:bCs/>
          <w:color w:val="000000"/>
        </w:rPr>
        <w:t> </w:t>
      </w:r>
    </w:p>
    <w:p w:rsidR="00FD6FB5" w:rsidRDefault="00FD6FB5" w:rsidP="009561B6">
      <w:pPr>
        <w:adjustRightInd w:val="0"/>
        <w:jc w:val="both"/>
        <w:rPr>
          <w:rFonts w:cs="Arial"/>
          <w:color w:val="000000"/>
        </w:rPr>
      </w:pPr>
      <w:r>
        <w:rPr>
          <w:rFonts w:cs="Arial"/>
          <w:color w:val="000000"/>
        </w:rPr>
        <w:t>Since this facility’s potential emissions do not exceed any major source thresholds of Rule 2201, this facility is not a major source, and Rule 2520 does not apply.</w:t>
      </w:r>
    </w:p>
    <w:p w:rsidR="00FD6FB5" w:rsidRDefault="00FD6FB5" w:rsidP="009561B6">
      <w:pPr>
        <w:jc w:val="both"/>
        <w:rPr>
          <w:rStyle w:val="emailstyle15"/>
        </w:rPr>
      </w:pPr>
      <w:r>
        <w:rPr>
          <w:rStyle w:val="emailstyle15"/>
        </w:rPr>
        <w:t> </w:t>
      </w:r>
    </w:p>
    <w:p w:rsidR="00FD6FB5" w:rsidRDefault="00FD6FB5" w:rsidP="009561B6">
      <w:pPr>
        <w:suppressAutoHyphens/>
        <w:jc w:val="both"/>
        <w:rPr>
          <w:b/>
          <w:spacing w:val="-3"/>
        </w:rPr>
      </w:pPr>
      <w:r>
        <w:rPr>
          <w:b/>
          <w:spacing w:val="-3"/>
        </w:rPr>
        <w:t>Rule 4101 - Visible Emissions</w:t>
      </w:r>
    </w:p>
    <w:p w:rsidR="00FD6FB5" w:rsidRDefault="00FD6FB5" w:rsidP="009561B6">
      <w:pPr>
        <w:suppressAutoHyphens/>
        <w:jc w:val="both"/>
        <w:rPr>
          <w:spacing w:val="-3"/>
        </w:rPr>
      </w:pPr>
    </w:p>
    <w:p w:rsidR="00FD6FB5" w:rsidRDefault="00FD6FB5" w:rsidP="009561B6">
      <w:pPr>
        <w:suppressAutoHyphens/>
        <w:jc w:val="both"/>
        <w:rPr>
          <w:spacing w:val="-3"/>
        </w:rPr>
      </w:pPr>
      <w:r>
        <w:rPr>
          <w:spacing w:val="-3"/>
        </w:rPr>
        <w:t>Rule 4101 states that no air contaminant shall be discharged into the atmosphere for a period or periods aggregating more than three minutes in any one hour which is as dark as, or darker than, Ringelmann 1 or 20% opacity.</w:t>
      </w:r>
    </w:p>
    <w:p w:rsidR="00FD6FB5" w:rsidRDefault="00FD6FB5" w:rsidP="009561B6">
      <w:pPr>
        <w:suppressAutoHyphens/>
        <w:jc w:val="both"/>
        <w:rPr>
          <w:spacing w:val="-3"/>
        </w:rPr>
      </w:pPr>
    </w:p>
    <w:p w:rsidR="00FD6FB5" w:rsidRDefault="00FD6FB5" w:rsidP="009561B6">
      <w:pPr>
        <w:pStyle w:val="BodyTextIndent"/>
        <w:ind w:left="0"/>
      </w:pPr>
      <w:r>
        <w:t>As long as the equipment is properly maintained and operated, compliance with visible emissions limits is expected under normal operating conditions.</w:t>
      </w:r>
    </w:p>
    <w:p w:rsidR="00FD6FB5" w:rsidRDefault="00FD6FB5" w:rsidP="009561B6">
      <w:pPr>
        <w:suppressAutoHyphens/>
        <w:jc w:val="both"/>
        <w:rPr>
          <w:spacing w:val="-3"/>
        </w:rPr>
      </w:pPr>
    </w:p>
    <w:p w:rsidR="00FD6FB5" w:rsidRDefault="00FD6FB5" w:rsidP="009561B6">
      <w:pPr>
        <w:suppressAutoHyphens/>
        <w:jc w:val="both"/>
        <w:rPr>
          <w:b/>
          <w:spacing w:val="-3"/>
        </w:rPr>
      </w:pPr>
      <w:r>
        <w:rPr>
          <w:b/>
          <w:spacing w:val="-3"/>
        </w:rPr>
        <w:t>Rule 4102 - Public Nuisance</w:t>
      </w:r>
    </w:p>
    <w:p w:rsidR="00FD6FB5" w:rsidRDefault="00FD6FB5" w:rsidP="009561B6">
      <w:pPr>
        <w:suppressAutoHyphens/>
        <w:jc w:val="both"/>
        <w:rPr>
          <w:spacing w:val="-3"/>
        </w:rPr>
      </w:pPr>
    </w:p>
    <w:p w:rsidR="00FD6FB5" w:rsidRDefault="00FD6FB5" w:rsidP="009561B6">
      <w:pPr>
        <w:pStyle w:val="BodyTextIndent"/>
        <w:ind w:left="0"/>
      </w:pPr>
      <w:r>
        <w:t>Rule 4102 states that no air contaminant shall be released into the atmosphere that causes a public nuisance.</w:t>
      </w:r>
    </w:p>
    <w:p w:rsidR="00FD6FB5" w:rsidRDefault="00FD6FB5">
      <w:pPr>
        <w:suppressAutoHyphens/>
        <w:ind w:left="720"/>
        <w:jc w:val="both"/>
        <w:rPr>
          <w:spacing w:val="-3"/>
        </w:rPr>
      </w:pPr>
    </w:p>
    <w:p w:rsidR="00FD6FB5" w:rsidRDefault="00FD6FB5">
      <w:pPr>
        <w:suppressAutoHyphens/>
        <w:ind w:left="1170"/>
        <w:jc w:val="both"/>
        <w:rPr>
          <w:b/>
          <w:i/>
          <w:spacing w:val="-2"/>
        </w:rPr>
      </w:pPr>
      <w:r>
        <w:rPr>
          <w:b/>
          <w:i/>
          <w:spacing w:val="-2"/>
        </w:rPr>
        <w:t>CH&amp;SC 41700 - California Health and Safety Code</w:t>
      </w:r>
    </w:p>
    <w:p w:rsidR="00FD6FB5" w:rsidRDefault="00FD6FB5">
      <w:pPr>
        <w:suppressAutoHyphens/>
        <w:ind w:left="1170"/>
        <w:jc w:val="both"/>
        <w:rPr>
          <w:rFonts w:cs="Arial"/>
          <w:bCs/>
          <w:spacing w:val="-2"/>
          <w:sz w:val="16"/>
        </w:rPr>
      </w:pPr>
    </w:p>
    <w:p w:rsidR="00FD6FB5" w:rsidRDefault="00FD6FB5">
      <w:pPr>
        <w:pStyle w:val="BodyText"/>
        <w:spacing w:after="0"/>
        <w:ind w:left="1170"/>
        <w:jc w:val="both"/>
        <w:rPr>
          <w:rFonts w:ascii="Arial" w:hAnsi="Arial"/>
          <w:sz w:val="24"/>
        </w:rPr>
      </w:pPr>
      <w:r>
        <w:rPr>
          <w:rFonts w:ascii="Arial" w:hAnsi="Arial"/>
          <w:sz w:val="24"/>
        </w:rPr>
        <w:t>The District’s Risk Management Policy for Permitting New and Modified Sources (APR 1905, 3/2/01) requires that a Risk Management Review is performed for any increase in hourly or annual emissions of Hazardous Air Pollutants (HAPs).  HAPs are limited to substances included on the list in CH&amp;SC 44321 and that have an OEHHA approved health risk value.</w:t>
      </w:r>
    </w:p>
    <w:p w:rsidR="00FD6FB5" w:rsidRDefault="00FD6FB5">
      <w:pPr>
        <w:pStyle w:val="BodyText"/>
        <w:spacing w:after="0"/>
        <w:ind w:left="1170"/>
        <w:jc w:val="both"/>
        <w:rPr>
          <w:rFonts w:ascii="Arial" w:hAnsi="Arial" w:cs="Arial"/>
          <w:sz w:val="16"/>
        </w:rPr>
      </w:pPr>
    </w:p>
    <w:p w:rsidR="00FD6FB5" w:rsidRDefault="00FD6FB5">
      <w:pPr>
        <w:pStyle w:val="BodyText"/>
        <w:spacing w:after="0"/>
        <w:ind w:left="1170"/>
        <w:jc w:val="both"/>
        <w:rPr>
          <w:rFonts w:ascii="Arial" w:hAnsi="Arial"/>
          <w:sz w:val="24"/>
        </w:rPr>
      </w:pPr>
      <w:r>
        <w:rPr>
          <w:rFonts w:ascii="Arial" w:hAnsi="Arial"/>
          <w:sz w:val="24"/>
        </w:rPr>
        <w:t>This project results in increases in emissions of HAPs</w:t>
      </w:r>
    </w:p>
    <w:p w:rsidR="00FD6FB5" w:rsidRDefault="00FD6FB5">
      <w:pPr>
        <w:pStyle w:val="BodyText"/>
        <w:spacing w:after="0"/>
        <w:ind w:left="1170"/>
        <w:jc w:val="both"/>
        <w:rPr>
          <w:rFonts w:ascii="Arial" w:hAnsi="Arial"/>
          <w:sz w:val="16"/>
        </w:rPr>
      </w:pPr>
    </w:p>
    <w:p w:rsidR="00FD6FB5" w:rsidRDefault="00FD6FB5">
      <w:pPr>
        <w:pStyle w:val="BodyText"/>
        <w:spacing w:after="0"/>
        <w:ind w:left="1170"/>
        <w:jc w:val="both"/>
        <w:rPr>
          <w:rFonts w:ascii="Arial" w:hAnsi="Arial"/>
          <w:sz w:val="24"/>
        </w:rPr>
      </w:pPr>
      <w:r>
        <w:rPr>
          <w:rFonts w:ascii="Arial" w:hAnsi="Arial"/>
          <w:sz w:val="24"/>
        </w:rPr>
        <w:t xml:space="preserve">The risk associated with emissions increase for this project was reviewed by performing a prioritization in accordance with the requirements of the CAPCOA prioritization guidelines. The resulting </w:t>
      </w:r>
      <w:r>
        <w:rPr>
          <w:rFonts w:ascii="Arial" w:hAnsi="Arial"/>
          <w:color w:val="0000FF"/>
          <w:sz w:val="24"/>
        </w:rPr>
        <w:t>prioritization score, acute hazard index, chronic hazard index, and cancer risk</w:t>
      </w:r>
      <w:r>
        <w:rPr>
          <w:rFonts w:ascii="Arial" w:hAnsi="Arial"/>
          <w:sz w:val="24"/>
        </w:rPr>
        <w:t xml:space="preserve"> from this project is shown below.  </w:t>
      </w:r>
    </w:p>
    <w:p w:rsidR="00FD6FB5" w:rsidRDefault="00FD6FB5">
      <w:pPr>
        <w:pStyle w:val="BodyText"/>
        <w:spacing w:after="0"/>
        <w:ind w:left="1170"/>
        <w:jc w:val="both"/>
        <w:rPr>
          <w:rFonts w:ascii="Arial" w:hAnsi="Arial" w:cs="Arial"/>
          <w:sz w:val="24"/>
        </w:rPr>
      </w:pPr>
    </w:p>
    <w:tbl>
      <w:tblPr>
        <w:tblW w:w="0" w:type="auto"/>
        <w:jc w:val="right"/>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83"/>
        <w:gridCol w:w="4115"/>
      </w:tblGrid>
      <w:tr w:rsidR="00FD6FB5" w:rsidTr="006B0360">
        <w:trPr>
          <w:cantSplit/>
          <w:jc w:val="right"/>
        </w:trPr>
        <w:tc>
          <w:tcPr>
            <w:tcW w:w="8298" w:type="dxa"/>
            <w:gridSpan w:val="2"/>
            <w:tcBorders>
              <w:top w:val="double" w:sz="4" w:space="0" w:color="auto"/>
              <w:left w:val="double" w:sz="4" w:space="0" w:color="auto"/>
              <w:bottom w:val="double" w:sz="4" w:space="0" w:color="auto"/>
              <w:right w:val="double" w:sz="4" w:space="0" w:color="auto"/>
            </w:tcBorders>
            <w:shd w:val="clear" w:color="auto" w:fill="auto"/>
          </w:tcPr>
          <w:p w:rsidR="00FD6FB5" w:rsidRPr="007009EE" w:rsidRDefault="00FD6FB5" w:rsidP="009A4D6E">
            <w:pPr>
              <w:pStyle w:val="Heading9"/>
              <w:suppressAutoHyphens w:val="0"/>
              <w:jc w:val="center"/>
              <w:rPr>
                <w:b/>
                <w:spacing w:val="0"/>
                <w:sz w:val="22"/>
                <w:szCs w:val="22"/>
                <w:u w:val="none"/>
              </w:rPr>
            </w:pPr>
            <w:r w:rsidRPr="007009EE">
              <w:rPr>
                <w:b/>
                <w:spacing w:val="0"/>
                <w:sz w:val="22"/>
                <w:szCs w:val="22"/>
                <w:u w:val="none"/>
              </w:rPr>
              <w:t>Health Risk Assessment Summary</w:t>
            </w:r>
          </w:p>
        </w:tc>
      </w:tr>
      <w:tr w:rsidR="00FD6FB5" w:rsidTr="00575356">
        <w:trPr>
          <w:cantSplit/>
          <w:jc w:val="right"/>
        </w:trPr>
        <w:tc>
          <w:tcPr>
            <w:tcW w:w="4183" w:type="dxa"/>
            <w:tcBorders>
              <w:top w:val="double" w:sz="4" w:space="0" w:color="auto"/>
              <w:left w:val="double" w:sz="4" w:space="0" w:color="auto"/>
            </w:tcBorders>
            <w:shd w:val="clear" w:color="auto" w:fill="auto"/>
          </w:tcPr>
          <w:p w:rsidR="00FD6FB5" w:rsidRPr="007009EE" w:rsidRDefault="00FD6FB5">
            <w:pPr>
              <w:jc w:val="center"/>
              <w:rPr>
                <w:b/>
                <w:sz w:val="22"/>
                <w:szCs w:val="22"/>
              </w:rPr>
            </w:pPr>
          </w:p>
        </w:tc>
        <w:tc>
          <w:tcPr>
            <w:tcW w:w="4115" w:type="dxa"/>
            <w:tcBorders>
              <w:top w:val="double" w:sz="4" w:space="0" w:color="auto"/>
              <w:right w:val="double" w:sz="4" w:space="0" w:color="auto"/>
            </w:tcBorders>
            <w:shd w:val="clear" w:color="auto" w:fill="auto"/>
          </w:tcPr>
          <w:p w:rsidR="00FD6FB5" w:rsidRPr="007009EE" w:rsidRDefault="00FD6FB5">
            <w:pPr>
              <w:jc w:val="center"/>
              <w:rPr>
                <w:b/>
                <w:sz w:val="22"/>
                <w:szCs w:val="22"/>
              </w:rPr>
            </w:pPr>
            <w:r w:rsidRPr="007009EE">
              <w:rPr>
                <w:b/>
                <w:sz w:val="22"/>
                <w:szCs w:val="22"/>
              </w:rPr>
              <w:t>Worst Case Potential</w:t>
            </w:r>
          </w:p>
        </w:tc>
      </w:tr>
      <w:tr w:rsidR="00FD6FB5">
        <w:trPr>
          <w:cantSplit/>
          <w:jc w:val="right"/>
        </w:trPr>
        <w:tc>
          <w:tcPr>
            <w:tcW w:w="4183" w:type="dxa"/>
            <w:tcBorders>
              <w:left w:val="double" w:sz="4" w:space="0" w:color="auto"/>
            </w:tcBorders>
          </w:tcPr>
          <w:p w:rsidR="00FD6FB5" w:rsidRPr="007009EE" w:rsidRDefault="00FD6FB5">
            <w:pPr>
              <w:jc w:val="center"/>
              <w:rPr>
                <w:b/>
                <w:sz w:val="22"/>
                <w:szCs w:val="22"/>
              </w:rPr>
            </w:pPr>
            <w:r w:rsidRPr="007009EE">
              <w:rPr>
                <w:b/>
                <w:sz w:val="22"/>
                <w:szCs w:val="22"/>
              </w:rPr>
              <w:t>Prioritization Score</w:t>
            </w:r>
          </w:p>
        </w:tc>
        <w:tc>
          <w:tcPr>
            <w:tcW w:w="4115" w:type="dxa"/>
            <w:tcBorders>
              <w:right w:val="double" w:sz="4" w:space="0" w:color="auto"/>
            </w:tcBorders>
          </w:tcPr>
          <w:p w:rsidR="00FD6FB5" w:rsidRPr="007009EE" w:rsidRDefault="00FD6FB5">
            <w:pPr>
              <w:jc w:val="center"/>
              <w:rPr>
                <w:color w:val="0000FF"/>
                <w:sz w:val="22"/>
                <w:szCs w:val="22"/>
              </w:rPr>
            </w:pPr>
            <w:r w:rsidRPr="007009EE">
              <w:rPr>
                <w:color w:val="0000FF"/>
                <w:sz w:val="22"/>
                <w:szCs w:val="22"/>
              </w:rPr>
              <w:t>[  ]</w:t>
            </w:r>
          </w:p>
        </w:tc>
      </w:tr>
      <w:tr w:rsidR="00FD6FB5">
        <w:trPr>
          <w:cantSplit/>
          <w:jc w:val="right"/>
        </w:trPr>
        <w:tc>
          <w:tcPr>
            <w:tcW w:w="4183" w:type="dxa"/>
            <w:tcBorders>
              <w:left w:val="double" w:sz="4" w:space="0" w:color="auto"/>
            </w:tcBorders>
          </w:tcPr>
          <w:p w:rsidR="00FD6FB5" w:rsidRPr="007009EE" w:rsidRDefault="00FD6FB5">
            <w:pPr>
              <w:jc w:val="center"/>
              <w:rPr>
                <w:b/>
                <w:sz w:val="22"/>
                <w:szCs w:val="22"/>
              </w:rPr>
            </w:pPr>
            <w:r w:rsidRPr="007009EE">
              <w:rPr>
                <w:b/>
                <w:sz w:val="22"/>
                <w:szCs w:val="22"/>
              </w:rPr>
              <w:t>Cancer Risk</w:t>
            </w:r>
          </w:p>
        </w:tc>
        <w:tc>
          <w:tcPr>
            <w:tcW w:w="4115" w:type="dxa"/>
            <w:tcBorders>
              <w:right w:val="double" w:sz="4" w:space="0" w:color="auto"/>
            </w:tcBorders>
          </w:tcPr>
          <w:p w:rsidR="00FD6FB5" w:rsidRPr="007009EE" w:rsidRDefault="00FD6FB5">
            <w:pPr>
              <w:jc w:val="center"/>
              <w:rPr>
                <w:color w:val="0000FF"/>
                <w:sz w:val="22"/>
                <w:szCs w:val="22"/>
              </w:rPr>
            </w:pPr>
            <w:r w:rsidRPr="007009EE">
              <w:rPr>
                <w:color w:val="0000FF"/>
                <w:sz w:val="22"/>
                <w:szCs w:val="22"/>
              </w:rPr>
              <w:t>[  ]</w:t>
            </w:r>
          </w:p>
        </w:tc>
      </w:tr>
      <w:tr w:rsidR="00FD6FB5">
        <w:trPr>
          <w:cantSplit/>
          <w:jc w:val="right"/>
        </w:trPr>
        <w:tc>
          <w:tcPr>
            <w:tcW w:w="4183" w:type="dxa"/>
            <w:tcBorders>
              <w:left w:val="double" w:sz="4" w:space="0" w:color="auto"/>
            </w:tcBorders>
          </w:tcPr>
          <w:p w:rsidR="00FD6FB5" w:rsidRPr="007009EE" w:rsidRDefault="00FD6FB5">
            <w:pPr>
              <w:jc w:val="center"/>
              <w:rPr>
                <w:b/>
                <w:sz w:val="22"/>
                <w:szCs w:val="22"/>
              </w:rPr>
            </w:pPr>
            <w:r w:rsidRPr="007009EE">
              <w:rPr>
                <w:b/>
                <w:sz w:val="22"/>
                <w:szCs w:val="22"/>
              </w:rPr>
              <w:t>Acute Hazard Index</w:t>
            </w:r>
          </w:p>
        </w:tc>
        <w:tc>
          <w:tcPr>
            <w:tcW w:w="4115" w:type="dxa"/>
            <w:tcBorders>
              <w:right w:val="double" w:sz="4" w:space="0" w:color="auto"/>
            </w:tcBorders>
          </w:tcPr>
          <w:p w:rsidR="00FD6FB5" w:rsidRPr="007009EE" w:rsidRDefault="00FD6FB5">
            <w:pPr>
              <w:jc w:val="center"/>
              <w:rPr>
                <w:color w:val="0000FF"/>
                <w:sz w:val="22"/>
                <w:szCs w:val="22"/>
              </w:rPr>
            </w:pPr>
            <w:r w:rsidRPr="007009EE">
              <w:rPr>
                <w:color w:val="0000FF"/>
                <w:sz w:val="22"/>
                <w:szCs w:val="22"/>
              </w:rPr>
              <w:t>[  ]</w:t>
            </w:r>
          </w:p>
        </w:tc>
      </w:tr>
      <w:tr w:rsidR="00FD6FB5">
        <w:trPr>
          <w:cantSplit/>
          <w:jc w:val="right"/>
        </w:trPr>
        <w:tc>
          <w:tcPr>
            <w:tcW w:w="4183" w:type="dxa"/>
            <w:tcBorders>
              <w:left w:val="double" w:sz="4" w:space="0" w:color="auto"/>
            </w:tcBorders>
          </w:tcPr>
          <w:p w:rsidR="00FD6FB5" w:rsidRPr="007009EE" w:rsidRDefault="00FD6FB5">
            <w:pPr>
              <w:jc w:val="center"/>
              <w:rPr>
                <w:b/>
                <w:sz w:val="22"/>
                <w:szCs w:val="22"/>
              </w:rPr>
            </w:pPr>
            <w:r w:rsidRPr="007009EE">
              <w:rPr>
                <w:b/>
                <w:sz w:val="22"/>
                <w:szCs w:val="22"/>
              </w:rPr>
              <w:t>Chronic Hazard Index</w:t>
            </w:r>
          </w:p>
        </w:tc>
        <w:tc>
          <w:tcPr>
            <w:tcW w:w="4115" w:type="dxa"/>
            <w:tcBorders>
              <w:right w:val="double" w:sz="4" w:space="0" w:color="auto"/>
            </w:tcBorders>
          </w:tcPr>
          <w:p w:rsidR="00FD6FB5" w:rsidRPr="007009EE" w:rsidRDefault="00FD6FB5">
            <w:pPr>
              <w:jc w:val="center"/>
              <w:rPr>
                <w:color w:val="0000FF"/>
                <w:sz w:val="22"/>
                <w:szCs w:val="22"/>
              </w:rPr>
            </w:pPr>
            <w:r w:rsidRPr="007009EE">
              <w:rPr>
                <w:color w:val="0000FF"/>
                <w:sz w:val="22"/>
                <w:szCs w:val="22"/>
              </w:rPr>
              <w:t>[  ]</w:t>
            </w:r>
          </w:p>
        </w:tc>
      </w:tr>
      <w:tr w:rsidR="00FD6FB5">
        <w:trPr>
          <w:cantSplit/>
          <w:jc w:val="right"/>
        </w:trPr>
        <w:tc>
          <w:tcPr>
            <w:tcW w:w="4183" w:type="dxa"/>
            <w:tcBorders>
              <w:left w:val="double" w:sz="4" w:space="0" w:color="auto"/>
            </w:tcBorders>
          </w:tcPr>
          <w:p w:rsidR="00FD6FB5" w:rsidRPr="007009EE" w:rsidRDefault="00FD6FB5">
            <w:pPr>
              <w:jc w:val="center"/>
              <w:rPr>
                <w:b/>
                <w:sz w:val="22"/>
                <w:szCs w:val="22"/>
              </w:rPr>
            </w:pPr>
            <w:r w:rsidRPr="007009EE">
              <w:rPr>
                <w:b/>
                <w:sz w:val="22"/>
                <w:szCs w:val="22"/>
              </w:rPr>
              <w:t>T-BACT Required?</w:t>
            </w:r>
          </w:p>
        </w:tc>
        <w:tc>
          <w:tcPr>
            <w:tcW w:w="4115" w:type="dxa"/>
            <w:tcBorders>
              <w:right w:val="double" w:sz="4" w:space="0" w:color="auto"/>
            </w:tcBorders>
          </w:tcPr>
          <w:p w:rsidR="00FD6FB5" w:rsidRPr="007009EE" w:rsidRDefault="00FD6FB5">
            <w:pPr>
              <w:jc w:val="center"/>
              <w:rPr>
                <w:b/>
                <w:color w:val="0000FF"/>
                <w:sz w:val="22"/>
                <w:szCs w:val="22"/>
              </w:rPr>
            </w:pPr>
            <w:r w:rsidRPr="007009EE">
              <w:rPr>
                <w:b/>
                <w:color w:val="0000FF"/>
                <w:sz w:val="22"/>
                <w:szCs w:val="22"/>
              </w:rPr>
              <w:t>Yes/No</w:t>
            </w:r>
          </w:p>
        </w:tc>
      </w:tr>
      <w:tr w:rsidR="00FD6FB5">
        <w:trPr>
          <w:cantSplit/>
          <w:jc w:val="right"/>
        </w:trPr>
        <w:tc>
          <w:tcPr>
            <w:tcW w:w="4183" w:type="dxa"/>
            <w:tcBorders>
              <w:left w:val="double" w:sz="4" w:space="0" w:color="auto"/>
              <w:bottom w:val="double" w:sz="4" w:space="0" w:color="auto"/>
            </w:tcBorders>
          </w:tcPr>
          <w:p w:rsidR="00FD6FB5" w:rsidRPr="007009EE" w:rsidRDefault="00FD6FB5">
            <w:pPr>
              <w:jc w:val="center"/>
              <w:rPr>
                <w:b/>
                <w:sz w:val="22"/>
                <w:szCs w:val="22"/>
              </w:rPr>
            </w:pPr>
            <w:r w:rsidRPr="007009EE">
              <w:rPr>
                <w:b/>
                <w:sz w:val="22"/>
                <w:szCs w:val="22"/>
              </w:rPr>
              <w:t>Project Approved?</w:t>
            </w:r>
          </w:p>
        </w:tc>
        <w:tc>
          <w:tcPr>
            <w:tcW w:w="4115" w:type="dxa"/>
            <w:tcBorders>
              <w:bottom w:val="double" w:sz="4" w:space="0" w:color="auto"/>
              <w:right w:val="double" w:sz="4" w:space="0" w:color="auto"/>
            </w:tcBorders>
          </w:tcPr>
          <w:p w:rsidR="00FD6FB5" w:rsidRPr="007009EE" w:rsidRDefault="00FD6FB5">
            <w:pPr>
              <w:jc w:val="center"/>
              <w:rPr>
                <w:b/>
                <w:color w:val="0000FF"/>
                <w:sz w:val="22"/>
                <w:szCs w:val="22"/>
              </w:rPr>
            </w:pPr>
            <w:r w:rsidRPr="007009EE">
              <w:rPr>
                <w:b/>
                <w:color w:val="0000FF"/>
                <w:sz w:val="22"/>
                <w:szCs w:val="22"/>
              </w:rPr>
              <w:t>Yes/No</w:t>
            </w:r>
          </w:p>
        </w:tc>
      </w:tr>
    </w:tbl>
    <w:p w:rsidR="00FD6FB5" w:rsidRDefault="00FD6FB5">
      <w:pPr>
        <w:pStyle w:val="BodyText"/>
        <w:spacing w:after="0"/>
        <w:ind w:left="1170"/>
        <w:jc w:val="both"/>
        <w:rPr>
          <w:rFonts w:ascii="Arial" w:hAnsi="Arial" w:cs="Arial"/>
          <w:sz w:val="24"/>
        </w:rPr>
      </w:pPr>
    </w:p>
    <w:p w:rsidR="00FD6FB5" w:rsidRDefault="00FD6FB5">
      <w:pPr>
        <w:pStyle w:val="BodyText"/>
        <w:spacing w:after="0"/>
        <w:ind w:left="1170"/>
        <w:jc w:val="both"/>
        <w:rPr>
          <w:rFonts w:ascii="Arial" w:hAnsi="Arial" w:cs="Arial"/>
          <w:sz w:val="24"/>
        </w:rPr>
      </w:pPr>
    </w:p>
    <w:p w:rsidR="00FD6FB5" w:rsidRDefault="00FD6FB5">
      <w:pPr>
        <w:suppressAutoHyphens/>
        <w:ind w:left="1170"/>
        <w:rPr>
          <w:i/>
          <w:color w:val="0000FF"/>
          <w:spacing w:val="-3"/>
        </w:rPr>
      </w:pPr>
      <w:r>
        <w:rPr>
          <w:i/>
          <w:color w:val="0000FF"/>
          <w:spacing w:val="-3"/>
        </w:rPr>
        <w:t>Use one of the following paragraphs (delete all others as well as italicized language):</w:t>
      </w:r>
    </w:p>
    <w:p w:rsidR="00FD6FB5" w:rsidRDefault="00FD6FB5">
      <w:pPr>
        <w:pStyle w:val="BodyText"/>
        <w:spacing w:after="0"/>
        <w:ind w:left="1170"/>
        <w:jc w:val="both"/>
        <w:rPr>
          <w:rFonts w:ascii="Arial" w:hAnsi="Arial" w:cs="Arial"/>
          <w:sz w:val="24"/>
        </w:rPr>
      </w:pPr>
    </w:p>
    <w:p w:rsidR="00FD6FB5" w:rsidRDefault="00FD6FB5">
      <w:pPr>
        <w:pStyle w:val="BodyText"/>
        <w:spacing w:after="0"/>
        <w:ind w:left="1170" w:right="-810"/>
        <w:jc w:val="both"/>
        <w:rPr>
          <w:rFonts w:ascii="Arial" w:hAnsi="Arial" w:cs="Arial"/>
          <w:b/>
          <w:bCs/>
          <w:i/>
          <w:iCs/>
          <w:sz w:val="24"/>
        </w:rPr>
      </w:pPr>
      <w:r>
        <w:rPr>
          <w:rFonts w:ascii="Arial" w:hAnsi="Arial" w:cs="Arial"/>
          <w:b/>
          <w:bCs/>
          <w:i/>
          <w:iCs/>
          <w:sz w:val="24"/>
        </w:rPr>
        <w:lastRenderedPageBreak/>
        <w:t>Prioritization Score less than or equal to 1.0 (Project or total Facility)</w:t>
      </w:r>
    </w:p>
    <w:p w:rsidR="00FD6FB5" w:rsidRDefault="00FD6FB5">
      <w:pPr>
        <w:pStyle w:val="BodyText"/>
        <w:spacing w:after="0"/>
        <w:ind w:left="1170" w:right="-810"/>
        <w:jc w:val="both"/>
        <w:rPr>
          <w:rFonts w:ascii="Arial" w:hAnsi="Arial" w:cs="Arial"/>
          <w:b/>
          <w:bCs/>
          <w:i/>
          <w:iCs/>
          <w:sz w:val="24"/>
        </w:rPr>
      </w:pPr>
    </w:p>
    <w:p w:rsidR="00FD6FB5" w:rsidRDefault="00FD6FB5">
      <w:pPr>
        <w:ind w:left="1530"/>
        <w:jc w:val="both"/>
      </w:pPr>
      <w:r>
        <w:t>Pursuant to the District Risk Management Policy for New and Modified Sources, a screening Health Risk Assessment (HRA) is not required since the prioritization score is equal to or less than 1.0.</w:t>
      </w:r>
    </w:p>
    <w:p w:rsidR="00FD6FB5" w:rsidRDefault="00FD6FB5">
      <w:pPr>
        <w:ind w:left="1530"/>
        <w:jc w:val="both"/>
        <w:rPr>
          <w:sz w:val="16"/>
        </w:rPr>
      </w:pPr>
    </w:p>
    <w:p w:rsidR="00FD6FB5" w:rsidRDefault="00FD6FB5">
      <w:pPr>
        <w:pStyle w:val="BodyText"/>
        <w:widowControl w:val="0"/>
        <w:suppressAutoHyphens/>
        <w:spacing w:after="0"/>
        <w:ind w:left="1530"/>
        <w:jc w:val="both"/>
        <w:rPr>
          <w:rFonts w:ascii="Arial" w:hAnsi="Arial"/>
          <w:sz w:val="24"/>
        </w:rPr>
      </w:pPr>
      <w:r>
        <w:rPr>
          <w:rFonts w:ascii="Arial" w:hAnsi="Arial"/>
          <w:sz w:val="24"/>
        </w:rPr>
        <w:t>The project is approved for permitting without consideration of Toxic Best Available Control Technology (T-BACT).</w:t>
      </w:r>
    </w:p>
    <w:p w:rsidR="00FD6FB5" w:rsidRDefault="00FD6FB5">
      <w:pPr>
        <w:pStyle w:val="BodyText"/>
        <w:widowControl w:val="0"/>
        <w:suppressAutoHyphens/>
        <w:spacing w:after="0"/>
        <w:ind w:left="1530"/>
        <w:jc w:val="both"/>
        <w:rPr>
          <w:rFonts w:ascii="Arial" w:hAnsi="Arial"/>
          <w:sz w:val="16"/>
        </w:rPr>
      </w:pPr>
    </w:p>
    <w:p w:rsidR="00FD6FB5" w:rsidRDefault="00FD6FB5">
      <w:pPr>
        <w:ind w:left="1530"/>
        <w:jc w:val="both"/>
      </w:pPr>
      <w:r>
        <w:t>In accordance with this policy, no further analysis is required, and compliance with District Rule 4102</w:t>
      </w:r>
      <w:r>
        <w:rPr>
          <w:rFonts w:cs="Arial"/>
        </w:rPr>
        <w:t xml:space="preserve"> requirements is</w:t>
      </w:r>
      <w:r>
        <w:t xml:space="preserve"> expected.</w:t>
      </w:r>
    </w:p>
    <w:p w:rsidR="00FD6FB5" w:rsidRDefault="00FD6FB5">
      <w:pPr>
        <w:ind w:left="1530"/>
        <w:jc w:val="both"/>
        <w:rPr>
          <w:sz w:val="16"/>
        </w:rPr>
      </w:pPr>
    </w:p>
    <w:p w:rsidR="00FD6FB5" w:rsidRDefault="00FD6FB5">
      <w:pPr>
        <w:pStyle w:val="BodyText"/>
        <w:suppressAutoHyphens/>
        <w:spacing w:after="0"/>
        <w:ind w:left="1530"/>
        <w:jc w:val="both"/>
        <w:rPr>
          <w:rFonts w:ascii="Arial" w:hAnsi="Arial"/>
          <w:i/>
          <w:iCs/>
          <w:color w:val="FF0000"/>
          <w:sz w:val="24"/>
        </w:rPr>
      </w:pPr>
      <w:r>
        <w:rPr>
          <w:rFonts w:ascii="Arial" w:hAnsi="Arial"/>
          <w:i/>
          <w:iCs/>
          <w:color w:val="FF0000"/>
          <w:sz w:val="24"/>
        </w:rPr>
        <w:t>See Appendix Il: Health Risk Assessment Summary</w:t>
      </w:r>
    </w:p>
    <w:p w:rsidR="00FD6FB5" w:rsidRDefault="00FD6FB5">
      <w:pPr>
        <w:ind w:left="1530"/>
        <w:jc w:val="both"/>
      </w:pPr>
    </w:p>
    <w:p w:rsidR="00FD6FB5" w:rsidRDefault="00FD6FB5">
      <w:pPr>
        <w:ind w:firstLine="720"/>
        <w:jc w:val="both"/>
        <w:rPr>
          <w:b/>
          <w:bCs/>
          <w:i/>
          <w:iCs/>
          <w:color w:val="FF0000"/>
        </w:rPr>
      </w:pPr>
      <w:r>
        <w:rPr>
          <w:b/>
          <w:bCs/>
          <w:i/>
          <w:iCs/>
          <w:color w:val="FF0000"/>
        </w:rPr>
        <w:t>OR</w:t>
      </w:r>
    </w:p>
    <w:p w:rsidR="00FD6FB5" w:rsidRDefault="00FD6FB5">
      <w:pPr>
        <w:ind w:left="1170"/>
        <w:jc w:val="both"/>
        <w:rPr>
          <w:b/>
          <w:bCs/>
          <w:sz w:val="16"/>
        </w:rPr>
      </w:pPr>
    </w:p>
    <w:p w:rsidR="00FD6FB5" w:rsidRDefault="00FD6FB5">
      <w:pPr>
        <w:pStyle w:val="BodyText"/>
        <w:suppressAutoHyphens/>
        <w:spacing w:after="0"/>
        <w:ind w:left="1530"/>
        <w:jc w:val="both"/>
        <w:rPr>
          <w:rFonts w:ascii="Arial" w:hAnsi="Arial"/>
          <w:sz w:val="16"/>
        </w:rPr>
      </w:pPr>
    </w:p>
    <w:p w:rsidR="00FD6FB5" w:rsidRDefault="00FD6FB5">
      <w:pPr>
        <w:ind w:left="1530"/>
        <w:jc w:val="both"/>
        <w:rPr>
          <w:b/>
          <w:bCs/>
          <w:i/>
          <w:iCs/>
          <w:highlight w:val="yellow"/>
        </w:rPr>
      </w:pPr>
      <w:r>
        <w:rPr>
          <w:b/>
          <w:bCs/>
          <w:i/>
          <w:iCs/>
        </w:rPr>
        <w:t xml:space="preserve">Cancer risk less than or equal to 1.0 per million (acute and chronic indices) (T-BACT not </w:t>
      </w:r>
      <w:r w:rsidR="000F7376">
        <w:rPr>
          <w:b/>
          <w:bCs/>
          <w:i/>
          <w:iCs/>
        </w:rPr>
        <w:t>required</w:t>
      </w:r>
      <w:r>
        <w:rPr>
          <w:b/>
          <w:bCs/>
          <w:i/>
          <w:iCs/>
        </w:rPr>
        <w:t>)</w:t>
      </w:r>
    </w:p>
    <w:p w:rsidR="00FD6FB5" w:rsidRDefault="00FD6FB5">
      <w:pPr>
        <w:autoSpaceDE w:val="0"/>
        <w:autoSpaceDN w:val="0"/>
        <w:adjustRightInd w:val="0"/>
        <w:ind w:left="1890"/>
        <w:jc w:val="both"/>
        <w:rPr>
          <w:rFonts w:cs="Arial"/>
        </w:rPr>
      </w:pPr>
    </w:p>
    <w:p w:rsidR="00FD6FB5" w:rsidRDefault="00FD6FB5">
      <w:pPr>
        <w:autoSpaceDE w:val="0"/>
        <w:autoSpaceDN w:val="0"/>
        <w:adjustRightInd w:val="0"/>
        <w:ind w:left="1890"/>
        <w:jc w:val="both"/>
        <w:rPr>
          <w:rFonts w:cs="Arial"/>
        </w:rPr>
      </w:pPr>
      <w:r>
        <w:t>Pursuant to the District Risk Management Policy for New and Modified Sources, a Health Risk Assessment (HRA) is required for projects with a prioritization score greater than 1.0.  Since the prioritization score of the sum of all projects subject to District’s Risk Management Review Policy</w:t>
      </w:r>
      <w:r>
        <w:rPr>
          <w:rFonts w:cs="Arial"/>
        </w:rPr>
        <w:t xml:space="preserve"> is</w:t>
      </w:r>
      <w:r>
        <w:t xml:space="preserve"> greater than one, a HRA is requested.</w:t>
      </w:r>
    </w:p>
    <w:p w:rsidR="00FD6FB5" w:rsidRDefault="00FD6FB5">
      <w:pPr>
        <w:autoSpaceDE w:val="0"/>
        <w:autoSpaceDN w:val="0"/>
        <w:adjustRightInd w:val="0"/>
        <w:ind w:left="1890"/>
        <w:jc w:val="both"/>
        <w:rPr>
          <w:rFonts w:cs="Arial"/>
          <w:sz w:val="16"/>
        </w:rPr>
      </w:pPr>
    </w:p>
    <w:p w:rsidR="00FD6FB5" w:rsidRDefault="00FD6FB5">
      <w:pPr>
        <w:autoSpaceDE w:val="0"/>
        <w:autoSpaceDN w:val="0"/>
        <w:adjustRightInd w:val="0"/>
        <w:ind w:left="1890"/>
        <w:jc w:val="both"/>
        <w:rPr>
          <w:rFonts w:cs="Arial"/>
        </w:rPr>
      </w:pPr>
      <w:r>
        <w:rPr>
          <w:rFonts w:cs="Arial"/>
        </w:rPr>
        <w:t>District policy APR 1905 specifies that the increase in emissions associated with a proposed new source or modification project not pose a significant health risk.  A cancer risk greater than 1.0 per million is considered to pose a significant risk.</w:t>
      </w:r>
    </w:p>
    <w:p w:rsidR="00FD6FB5" w:rsidRDefault="00FD6FB5">
      <w:pPr>
        <w:autoSpaceDE w:val="0"/>
        <w:autoSpaceDN w:val="0"/>
        <w:adjustRightInd w:val="0"/>
        <w:ind w:left="1890"/>
        <w:jc w:val="both"/>
        <w:rPr>
          <w:rFonts w:cs="Arial"/>
          <w:sz w:val="16"/>
        </w:rPr>
      </w:pPr>
    </w:p>
    <w:p w:rsidR="00FD6FB5" w:rsidRDefault="00FD6FB5">
      <w:pPr>
        <w:autoSpaceDE w:val="0"/>
        <w:autoSpaceDN w:val="0"/>
        <w:adjustRightInd w:val="0"/>
        <w:ind w:left="1890"/>
        <w:jc w:val="both"/>
        <w:rPr>
          <w:rFonts w:cs="Arial"/>
        </w:rPr>
      </w:pPr>
      <w:r>
        <w:rPr>
          <w:rFonts w:cs="Arial"/>
        </w:rPr>
        <w:t>Since the HRA indicates that risk is below District acute, chronic, and cancer risk thresholds, Toxic Best Available Technology (T-BACT) is not required for this project.</w:t>
      </w:r>
    </w:p>
    <w:p w:rsidR="00FD6FB5" w:rsidRDefault="00FD6FB5">
      <w:pPr>
        <w:autoSpaceDE w:val="0"/>
        <w:autoSpaceDN w:val="0"/>
        <w:adjustRightInd w:val="0"/>
        <w:ind w:left="1890"/>
        <w:jc w:val="both"/>
        <w:rPr>
          <w:rFonts w:cs="Arial"/>
          <w:sz w:val="16"/>
          <w:szCs w:val="16"/>
        </w:rPr>
      </w:pPr>
    </w:p>
    <w:p w:rsidR="00FD6FB5" w:rsidRDefault="00FD6FB5">
      <w:pPr>
        <w:autoSpaceDE w:val="0"/>
        <w:autoSpaceDN w:val="0"/>
        <w:adjustRightInd w:val="0"/>
        <w:ind w:left="1890"/>
        <w:jc w:val="both"/>
        <w:rPr>
          <w:rFonts w:cs="Arial"/>
        </w:rPr>
      </w:pPr>
      <w:r>
        <w:rPr>
          <w:rFonts w:cs="Arial"/>
        </w:rPr>
        <w:t>In accordance with the policy, no further analysis is required.  As long as the unit is properly maintained and operated, it should not be a public nuisance.  Therefore compliance with District Rule 4102 requirements is expected.</w:t>
      </w:r>
    </w:p>
    <w:p w:rsidR="00FD6FB5" w:rsidRDefault="00FD6FB5">
      <w:pPr>
        <w:suppressAutoHyphens/>
        <w:autoSpaceDE w:val="0"/>
        <w:autoSpaceDN w:val="0"/>
        <w:adjustRightInd w:val="0"/>
        <w:ind w:left="1890"/>
        <w:jc w:val="both"/>
        <w:rPr>
          <w:rFonts w:cs="Arial"/>
          <w:spacing w:val="-3"/>
          <w:sz w:val="16"/>
          <w:szCs w:val="16"/>
          <w:highlight w:val="yellow"/>
        </w:rPr>
      </w:pPr>
    </w:p>
    <w:p w:rsidR="00FD6FB5" w:rsidRDefault="00FD6FB5">
      <w:pPr>
        <w:suppressAutoHyphens/>
        <w:autoSpaceDE w:val="0"/>
        <w:autoSpaceDN w:val="0"/>
        <w:adjustRightInd w:val="0"/>
        <w:ind w:left="1890"/>
        <w:jc w:val="both"/>
        <w:rPr>
          <w:rFonts w:cs="Arial"/>
          <w:i/>
          <w:iCs/>
          <w:color w:val="FF00FF"/>
        </w:rPr>
      </w:pPr>
      <w:r>
        <w:rPr>
          <w:rFonts w:cs="Arial"/>
          <w:i/>
          <w:iCs/>
          <w:color w:val="FF00FF"/>
        </w:rPr>
        <w:t>See Appendix Il: Health Risk Assessment Summary</w:t>
      </w:r>
    </w:p>
    <w:p w:rsidR="00FD6FB5" w:rsidRDefault="00FD6FB5">
      <w:pPr>
        <w:ind w:left="1890"/>
        <w:jc w:val="both"/>
        <w:rPr>
          <w:highlight w:val="yellow"/>
        </w:rPr>
      </w:pPr>
    </w:p>
    <w:p w:rsidR="00FD6FB5" w:rsidRDefault="00FD6FB5">
      <w:pPr>
        <w:ind w:firstLine="720"/>
        <w:jc w:val="both"/>
        <w:rPr>
          <w:color w:val="FF0000"/>
        </w:rPr>
      </w:pPr>
      <w:r>
        <w:rPr>
          <w:b/>
          <w:bCs/>
          <w:i/>
          <w:iCs/>
          <w:color w:val="FF0000"/>
        </w:rPr>
        <w:t>OR</w:t>
      </w:r>
    </w:p>
    <w:p w:rsidR="00FD6FB5" w:rsidRDefault="00FD6FB5">
      <w:pPr>
        <w:ind w:left="1530"/>
        <w:jc w:val="both"/>
        <w:rPr>
          <w:sz w:val="16"/>
        </w:rPr>
      </w:pPr>
    </w:p>
    <w:p w:rsidR="00FD6FB5" w:rsidRDefault="00FD6FB5">
      <w:pPr>
        <w:ind w:left="1530"/>
        <w:jc w:val="both"/>
        <w:rPr>
          <w:b/>
          <w:bCs/>
          <w:i/>
          <w:iCs/>
        </w:rPr>
      </w:pPr>
      <w:r>
        <w:rPr>
          <w:b/>
          <w:bCs/>
          <w:i/>
          <w:iCs/>
        </w:rPr>
        <w:t>Increase in cancer risk greater than 1.0 per million (T-BACT Required)</w:t>
      </w:r>
    </w:p>
    <w:p w:rsidR="00FD6FB5" w:rsidRDefault="00FD6FB5">
      <w:pPr>
        <w:ind w:left="1530"/>
        <w:jc w:val="both"/>
        <w:rPr>
          <w:b/>
          <w:bCs/>
          <w:i/>
          <w:iCs/>
          <w:highlight w:val="yellow"/>
        </w:rPr>
      </w:pPr>
    </w:p>
    <w:p w:rsidR="00FD6FB5" w:rsidRDefault="00FD6FB5">
      <w:pPr>
        <w:pStyle w:val="BodyText"/>
        <w:spacing w:after="0"/>
        <w:ind w:left="1890"/>
        <w:jc w:val="both"/>
        <w:rPr>
          <w:rFonts w:ascii="Arial" w:hAnsi="Arial" w:cs="Arial"/>
          <w:sz w:val="24"/>
        </w:rPr>
      </w:pPr>
      <w:r>
        <w:rPr>
          <w:rFonts w:ascii="Arial" w:hAnsi="Arial" w:cs="Arial"/>
          <w:sz w:val="24"/>
        </w:rPr>
        <w:t xml:space="preserve">District policy APR 1905 specifies that the increase in emissions associated with a proposed new source or modification project not pose a significant health risk.  A cancer risk greater than 1.0 per million is considered to pose a significant risk.  </w:t>
      </w:r>
    </w:p>
    <w:p w:rsidR="00FD6FB5" w:rsidRDefault="00FD6FB5">
      <w:pPr>
        <w:pStyle w:val="BodyText"/>
        <w:spacing w:after="0"/>
        <w:ind w:left="1890"/>
        <w:jc w:val="both"/>
        <w:rPr>
          <w:rFonts w:ascii="Arial" w:hAnsi="Arial"/>
          <w:sz w:val="24"/>
        </w:rPr>
      </w:pPr>
    </w:p>
    <w:p w:rsidR="00FD6FB5" w:rsidRDefault="00FD6FB5">
      <w:pPr>
        <w:pStyle w:val="BodyText"/>
        <w:spacing w:after="0"/>
        <w:ind w:left="1890"/>
        <w:jc w:val="both"/>
        <w:rPr>
          <w:rFonts w:ascii="Arial" w:hAnsi="Arial"/>
          <w:sz w:val="24"/>
        </w:rPr>
      </w:pPr>
      <w:r>
        <w:rPr>
          <w:rFonts w:ascii="Arial" w:hAnsi="Arial"/>
          <w:sz w:val="24"/>
        </w:rPr>
        <w:t>For projects where the increase in cancer risk is greater than 1.0 per million, Toxic Best Available Technology (T-BACT) is required.</w:t>
      </w:r>
    </w:p>
    <w:p w:rsidR="00FD6FB5" w:rsidRDefault="00FD6FB5">
      <w:pPr>
        <w:pStyle w:val="BodyText"/>
        <w:spacing w:after="0"/>
        <w:ind w:left="1890"/>
        <w:jc w:val="both"/>
        <w:rPr>
          <w:rFonts w:ascii="Arial" w:hAnsi="Arial"/>
          <w:sz w:val="16"/>
        </w:rPr>
      </w:pPr>
    </w:p>
    <w:p w:rsidR="00FD6FB5" w:rsidRDefault="00FD6FB5">
      <w:pPr>
        <w:ind w:left="1890"/>
        <w:jc w:val="both"/>
        <w:outlineLvl w:val="0"/>
      </w:pPr>
      <w:r>
        <w:t>Based on the HRA results, T-BACT is required for this project.</w:t>
      </w:r>
    </w:p>
    <w:p w:rsidR="00FD6FB5" w:rsidRDefault="00FD6FB5">
      <w:pPr>
        <w:pStyle w:val="BodyText"/>
        <w:spacing w:after="0"/>
        <w:ind w:left="1890"/>
        <w:jc w:val="both"/>
        <w:rPr>
          <w:rFonts w:ascii="Arial" w:hAnsi="Arial"/>
          <w:sz w:val="16"/>
        </w:rPr>
      </w:pPr>
    </w:p>
    <w:p w:rsidR="00FD6FB5" w:rsidRDefault="00FD6FB5">
      <w:pPr>
        <w:pStyle w:val="BodyText"/>
        <w:suppressAutoHyphens/>
        <w:spacing w:after="0"/>
        <w:ind w:left="1890"/>
        <w:jc w:val="both"/>
        <w:rPr>
          <w:rFonts w:ascii="Arial" w:hAnsi="Arial"/>
          <w:color w:val="FF0000"/>
          <w:sz w:val="24"/>
        </w:rPr>
      </w:pPr>
      <w:r>
        <w:rPr>
          <w:rFonts w:ascii="Arial" w:hAnsi="Arial"/>
          <w:sz w:val="24"/>
        </w:rPr>
        <w:t>The applicant has proposed T-BACT, therefore, compliance with District Risk Management Policy is expected</w:t>
      </w:r>
      <w:r>
        <w:rPr>
          <w:rFonts w:ascii="Arial" w:hAnsi="Arial"/>
          <w:color w:val="FF0000"/>
          <w:sz w:val="24"/>
        </w:rPr>
        <w:t xml:space="preserve">.  {Note: If T-BACT is not proposed, the project cannot be approved.  </w:t>
      </w:r>
    </w:p>
    <w:p w:rsidR="00FD6FB5" w:rsidRDefault="00FD6FB5">
      <w:pPr>
        <w:pStyle w:val="BodyText"/>
        <w:suppressAutoHyphens/>
        <w:spacing w:after="0"/>
        <w:ind w:left="1890"/>
        <w:jc w:val="both"/>
        <w:rPr>
          <w:rFonts w:ascii="Arial" w:hAnsi="Arial"/>
          <w:sz w:val="16"/>
        </w:rPr>
      </w:pPr>
    </w:p>
    <w:p w:rsidR="00FD6FB5" w:rsidRDefault="00FD6FB5">
      <w:pPr>
        <w:pStyle w:val="BodyText"/>
        <w:suppressAutoHyphens/>
        <w:spacing w:after="0"/>
        <w:ind w:left="1890"/>
        <w:jc w:val="both"/>
        <w:rPr>
          <w:rFonts w:ascii="Arial" w:hAnsi="Arial"/>
          <w:b/>
          <w:bCs/>
          <w:i/>
          <w:iCs/>
          <w:color w:val="FF0000"/>
          <w:sz w:val="24"/>
        </w:rPr>
      </w:pPr>
      <w:r>
        <w:rPr>
          <w:rFonts w:ascii="Arial" w:hAnsi="Arial"/>
          <w:b/>
          <w:bCs/>
          <w:i/>
          <w:iCs/>
          <w:color w:val="FF0000"/>
          <w:sz w:val="24"/>
        </w:rPr>
        <w:t>If Applicable add the following Section (highlighted in blue)</w:t>
      </w:r>
    </w:p>
    <w:p w:rsidR="00FD6FB5" w:rsidRDefault="00FD6FB5">
      <w:pPr>
        <w:pStyle w:val="BodyText"/>
        <w:suppressAutoHyphens/>
        <w:spacing w:after="0"/>
        <w:ind w:left="1890"/>
        <w:jc w:val="both"/>
        <w:rPr>
          <w:rFonts w:ascii="Arial" w:hAnsi="Arial"/>
          <w:sz w:val="16"/>
        </w:rPr>
      </w:pPr>
    </w:p>
    <w:p w:rsidR="00FD6FB5" w:rsidRDefault="00FD6FB5">
      <w:pPr>
        <w:pStyle w:val="BodyText"/>
        <w:suppressAutoHyphens/>
        <w:spacing w:after="0"/>
        <w:ind w:left="1890"/>
        <w:jc w:val="both"/>
        <w:rPr>
          <w:rFonts w:ascii="Arial" w:hAnsi="Arial"/>
          <w:color w:val="0000FF"/>
          <w:sz w:val="24"/>
        </w:rPr>
      </w:pPr>
      <w:r>
        <w:rPr>
          <w:rFonts w:ascii="Arial" w:hAnsi="Arial"/>
          <w:color w:val="0000FF"/>
          <w:sz w:val="24"/>
        </w:rPr>
        <w:t xml:space="preserve">The following permit conditions are required to ensure compliance with the assumptions made for the risk management review: </w:t>
      </w:r>
    </w:p>
    <w:p w:rsidR="00FD6FB5" w:rsidRDefault="00FD6FB5">
      <w:pPr>
        <w:pStyle w:val="BodyText"/>
        <w:spacing w:after="0"/>
        <w:ind w:left="1890"/>
        <w:jc w:val="both"/>
        <w:rPr>
          <w:rFonts w:ascii="Arial" w:hAnsi="Arial"/>
          <w:color w:val="0000FF"/>
          <w:sz w:val="16"/>
        </w:rPr>
      </w:pPr>
    </w:p>
    <w:p w:rsidR="00FD6FB5" w:rsidRDefault="00FD6FB5">
      <w:pPr>
        <w:pStyle w:val="BodyText"/>
        <w:numPr>
          <w:ilvl w:val="0"/>
          <w:numId w:val="27"/>
        </w:numPr>
        <w:spacing w:after="0"/>
        <w:jc w:val="both"/>
        <w:rPr>
          <w:rFonts w:ascii="Arial" w:hAnsi="Arial"/>
          <w:color w:val="0000FF"/>
          <w:sz w:val="24"/>
        </w:rPr>
      </w:pPr>
      <w:r>
        <w:rPr>
          <w:rFonts w:ascii="Arial" w:hAnsi="Arial"/>
          <w:color w:val="0000FF"/>
          <w:sz w:val="24"/>
        </w:rPr>
        <w:t>[Add HRA Conditions]</w:t>
      </w:r>
    </w:p>
    <w:p w:rsidR="00FD6FB5" w:rsidRDefault="00FD6FB5">
      <w:pPr>
        <w:pStyle w:val="BodyText"/>
        <w:suppressAutoHyphens/>
        <w:spacing w:after="0"/>
        <w:ind w:left="1890"/>
        <w:jc w:val="both"/>
        <w:rPr>
          <w:rFonts w:ascii="Arial" w:hAnsi="Arial"/>
          <w:color w:val="0000FF"/>
          <w:sz w:val="24"/>
          <w:highlight w:val="cyan"/>
        </w:rPr>
      </w:pPr>
    </w:p>
    <w:p w:rsidR="00FD6FB5" w:rsidRDefault="00FD6FB5">
      <w:pPr>
        <w:ind w:left="1890"/>
        <w:jc w:val="both"/>
      </w:pPr>
      <w:r>
        <w:rPr>
          <w:rFonts w:cs="Arial"/>
        </w:rPr>
        <w:t>In accordance with the policy, no further analysis is required.  As long as the unit is properly maintained and operated it should not be a public nuisance.  Therefore compliance with District Rule 4102 requirements</w:t>
      </w:r>
      <w:r>
        <w:t xml:space="preserve"> is expected.</w:t>
      </w:r>
    </w:p>
    <w:p w:rsidR="00FD6FB5" w:rsidRDefault="00FD6FB5">
      <w:pPr>
        <w:suppressAutoHyphens/>
        <w:ind w:left="1890"/>
        <w:jc w:val="both"/>
        <w:rPr>
          <w:rFonts w:cs="Arial"/>
          <w:iCs/>
          <w:spacing w:val="-3"/>
          <w:sz w:val="16"/>
          <w:highlight w:val="yellow"/>
        </w:rPr>
      </w:pPr>
    </w:p>
    <w:p w:rsidR="00FD6FB5" w:rsidRDefault="00FD6FB5">
      <w:pPr>
        <w:pStyle w:val="BodyText"/>
        <w:suppressAutoHyphens/>
        <w:spacing w:after="0"/>
        <w:ind w:left="1890"/>
        <w:jc w:val="both"/>
        <w:rPr>
          <w:rFonts w:ascii="Arial" w:hAnsi="Arial"/>
          <w:i/>
          <w:iCs/>
          <w:color w:val="FF0000"/>
          <w:sz w:val="24"/>
        </w:rPr>
      </w:pPr>
      <w:r>
        <w:rPr>
          <w:rFonts w:ascii="Arial" w:hAnsi="Arial"/>
          <w:i/>
          <w:iCs/>
          <w:color w:val="FF0000"/>
          <w:sz w:val="24"/>
        </w:rPr>
        <w:t>See Appendix Il: Health Risk Assessment Summary</w:t>
      </w:r>
    </w:p>
    <w:p w:rsidR="00FD6FB5" w:rsidRDefault="00FD6FB5">
      <w:pPr>
        <w:ind w:left="720"/>
        <w:jc w:val="both"/>
        <w:rPr>
          <w:sz w:val="22"/>
        </w:rPr>
      </w:pPr>
    </w:p>
    <w:p w:rsidR="00FD6FB5" w:rsidRDefault="00FD6FB5" w:rsidP="005F4E03">
      <w:pPr>
        <w:pStyle w:val="Footer"/>
        <w:tabs>
          <w:tab w:val="clear" w:pos="4320"/>
          <w:tab w:val="clear" w:pos="8640"/>
        </w:tabs>
        <w:jc w:val="both"/>
        <w:rPr>
          <w:b/>
          <w:bCs/>
          <w:color w:val="000000"/>
        </w:rPr>
      </w:pPr>
      <w:r>
        <w:rPr>
          <w:b/>
          <w:bCs/>
          <w:color w:val="000000"/>
        </w:rPr>
        <w:t>District Rule 4201,</w:t>
      </w:r>
      <w:r>
        <w:rPr>
          <w:b/>
          <w:bCs/>
          <w:color w:val="000000"/>
        </w:rPr>
        <w:tab/>
      </w:r>
      <w:r>
        <w:rPr>
          <w:b/>
          <w:bCs/>
          <w:i/>
          <w:iCs/>
          <w:color w:val="000000"/>
        </w:rPr>
        <w:t>Particulate Matter Concentration</w:t>
      </w:r>
    </w:p>
    <w:p w:rsidR="00FD6FB5" w:rsidRDefault="00FD6FB5" w:rsidP="005F4E03">
      <w:pPr>
        <w:pStyle w:val="Footer"/>
        <w:tabs>
          <w:tab w:val="clear" w:pos="4320"/>
          <w:tab w:val="clear" w:pos="8640"/>
        </w:tabs>
        <w:jc w:val="both"/>
        <w:rPr>
          <w:color w:val="000000"/>
          <w:sz w:val="16"/>
        </w:rPr>
      </w:pPr>
    </w:p>
    <w:p w:rsidR="00FD6FB5" w:rsidRDefault="00FD6FB5" w:rsidP="005F4E03">
      <w:pPr>
        <w:pStyle w:val="Footer"/>
        <w:tabs>
          <w:tab w:val="clear" w:pos="4320"/>
          <w:tab w:val="clear" w:pos="8640"/>
        </w:tabs>
        <w:jc w:val="both"/>
      </w:pPr>
      <w:r>
        <w:t>Particulate matter emissions from the project will be less than or equal to the rule limit of 0.1 grain per cubic foot of gas at dry standard conditions as shown by the following equation.</w:t>
      </w:r>
    </w:p>
    <w:p w:rsidR="00FD6FB5" w:rsidRDefault="00FD6FB5">
      <w:pPr>
        <w:pStyle w:val="Footer"/>
        <w:tabs>
          <w:tab w:val="clear" w:pos="4320"/>
          <w:tab w:val="clear" w:pos="8640"/>
        </w:tabs>
        <w:jc w:val="both"/>
      </w:pPr>
    </w:p>
    <w:p w:rsidR="00FD6FB5" w:rsidRDefault="00FD6FB5">
      <w:pPr>
        <w:pStyle w:val="Footer"/>
        <w:tabs>
          <w:tab w:val="clear" w:pos="4320"/>
          <w:tab w:val="clear" w:pos="8640"/>
        </w:tabs>
        <w:jc w:val="both"/>
        <w:rPr>
          <w:sz w:val="16"/>
        </w:rPr>
      </w:pPr>
    </w:p>
    <w:p w:rsidR="00FD6FB5" w:rsidRDefault="00FD6FB5">
      <w:pPr>
        <w:tabs>
          <w:tab w:val="left" w:pos="-720"/>
        </w:tabs>
        <w:suppressAutoHyphens/>
        <w:ind w:left="720"/>
        <w:jc w:val="both"/>
      </w:pPr>
      <w:r>
        <w:t>1.  F-factor for gasoline is 8,850 dscf/MMBtu</w:t>
      </w:r>
    </w:p>
    <w:p w:rsidR="00FD6FB5" w:rsidRDefault="00FD6FB5">
      <w:pPr>
        <w:tabs>
          <w:tab w:val="left" w:pos="-720"/>
        </w:tabs>
        <w:suppressAutoHyphens/>
        <w:ind w:left="720"/>
        <w:jc w:val="both"/>
      </w:pPr>
      <w:r>
        <w:t>2.  PM</w:t>
      </w:r>
      <w:r>
        <w:rPr>
          <w:vertAlign w:val="subscript"/>
        </w:rPr>
        <w:t>10</w:t>
      </w:r>
      <w:r>
        <w:t xml:space="preserve"> emission factor is 0.0687 lb/MMBtu (based on 0.000721 lb/hp-hr)</w:t>
      </w:r>
    </w:p>
    <w:p w:rsidR="00FD6FB5" w:rsidRDefault="00FD6FB5">
      <w:pPr>
        <w:pStyle w:val="Footer"/>
        <w:tabs>
          <w:tab w:val="clear" w:pos="4320"/>
          <w:tab w:val="clear" w:pos="8640"/>
        </w:tabs>
        <w:ind w:firstLine="720"/>
        <w:jc w:val="both"/>
      </w:pPr>
    </w:p>
    <w:p w:rsidR="00FD6FB5" w:rsidRDefault="000F7376">
      <w:pPr>
        <w:pStyle w:val="Footer"/>
        <w:tabs>
          <w:tab w:val="clear" w:pos="4320"/>
          <w:tab w:val="clear" w:pos="8640"/>
        </w:tabs>
        <w:ind w:firstLine="720"/>
        <w:jc w:val="both"/>
      </w:pPr>
      <w:r>
        <w:t>Based on PM</w:t>
      </w:r>
      <w:r>
        <w:rPr>
          <w:vertAlign w:val="subscript"/>
        </w:rPr>
        <w:t>10</w:t>
      </w:r>
      <w:r>
        <w:t xml:space="preserve"> emission factor listed above, and assuming 100% PM is PM</w:t>
      </w:r>
      <w:r>
        <w:rPr>
          <w:vertAlign w:val="subscript"/>
        </w:rPr>
        <w:t>10</w:t>
      </w:r>
      <w:r>
        <w:t>:</w:t>
      </w:r>
    </w:p>
    <w:p w:rsidR="00FD6FB5" w:rsidRDefault="00FD6FB5">
      <w:pPr>
        <w:tabs>
          <w:tab w:val="left" w:pos="-720"/>
        </w:tabs>
        <w:suppressAutoHyphens/>
        <w:ind w:left="720"/>
        <w:jc w:val="both"/>
      </w:pPr>
    </w:p>
    <w:p w:rsidR="00FD6FB5" w:rsidRDefault="00FD6FB5">
      <w:pPr>
        <w:suppressAutoHyphens/>
        <w:ind w:firstLine="720"/>
        <w:jc w:val="both"/>
      </w:pPr>
      <w:r>
        <w:rPr>
          <w:color w:val="0000FF"/>
          <w:position w:val="-28"/>
        </w:rPr>
        <w:object w:dxaOrig="6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5pt;height:33.4pt" o:ole="" fillcolor="window">
            <v:imagedata r:id="rId9" o:title=""/>
          </v:shape>
          <o:OLEObject Type="Embed" ProgID="Equation.3" ShapeID="_x0000_i1025" DrawAspect="Content" ObjectID="_1456042738" r:id="rId10"/>
        </w:object>
      </w:r>
    </w:p>
    <w:p w:rsidR="00FD6FB5" w:rsidRDefault="00FD6FB5">
      <w:pPr>
        <w:suppressAutoHyphens/>
        <w:jc w:val="both"/>
        <w:rPr>
          <w:sz w:val="16"/>
        </w:rPr>
      </w:pPr>
    </w:p>
    <w:p w:rsidR="00FD6FB5" w:rsidRDefault="00FD6FB5">
      <w:pPr>
        <w:suppressAutoHyphens/>
        <w:ind w:left="720"/>
        <w:jc w:val="both"/>
        <w:rPr>
          <w:noProof/>
        </w:rPr>
      </w:pPr>
      <w:r>
        <w:t xml:space="preserve">Since </w:t>
      </w:r>
      <w:r>
        <w:rPr>
          <w:noProof/>
        </w:rPr>
        <w:t>0.0019</w:t>
      </w:r>
      <w:r>
        <w:t xml:space="preserve"> </w:t>
      </w:r>
      <w:r w:rsidR="00995539">
        <w:rPr>
          <w:noProof/>
          <w:position w:val="-22"/>
        </w:rPr>
        <w:drawing>
          <wp:inline distT="0" distB="0" distL="0" distR="0" wp14:anchorId="0DB42FA2" wp14:editId="549409BB">
            <wp:extent cx="381000" cy="371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r>
        <w:t xml:space="preserve"> </w:t>
      </w:r>
      <w:r>
        <w:rPr>
          <w:noProof/>
        </w:rPr>
        <w:t xml:space="preserve">is </w:t>
      </w:r>
      <w:r>
        <w:rPr>
          <w:noProof/>
        </w:rPr>
        <w:sym w:font="Symbol" w:char="F0A3"/>
      </w:r>
      <w:r>
        <w:rPr>
          <w:noProof/>
        </w:rPr>
        <w:t xml:space="preserve"> to 0.1 grain per dscf, compliance with Rule 4201 is expected.</w:t>
      </w:r>
    </w:p>
    <w:p w:rsidR="00FD6FB5" w:rsidRDefault="00FD6FB5">
      <w:pPr>
        <w:suppressAutoHyphens/>
        <w:ind w:left="720"/>
        <w:jc w:val="both"/>
        <w:rPr>
          <w:noProof/>
        </w:rPr>
      </w:pPr>
    </w:p>
    <w:p w:rsidR="00FD6FB5" w:rsidRDefault="00FD6FB5" w:rsidP="005F4E03">
      <w:pPr>
        <w:jc w:val="both"/>
        <w:rPr>
          <w:b/>
          <w:bCs/>
        </w:rPr>
      </w:pPr>
      <w:r>
        <w:rPr>
          <w:b/>
          <w:bCs/>
        </w:rPr>
        <w:t xml:space="preserve">Rule 4651 – Volatile Organic Compounds </w:t>
      </w:r>
      <w:r w:rsidR="000F7376">
        <w:rPr>
          <w:b/>
          <w:bCs/>
        </w:rPr>
        <w:t>from</w:t>
      </w:r>
      <w:r>
        <w:rPr>
          <w:b/>
          <w:bCs/>
        </w:rPr>
        <w:t xml:space="preserve"> Decontamination of Soil</w:t>
      </w:r>
    </w:p>
    <w:p w:rsidR="00FD6FB5" w:rsidRDefault="00FD6FB5" w:rsidP="005F4E03">
      <w:pPr>
        <w:jc w:val="both"/>
      </w:pPr>
    </w:p>
    <w:p w:rsidR="002D58D5" w:rsidRPr="002D58D5" w:rsidRDefault="002D58D5" w:rsidP="005F4E03">
      <w:pPr>
        <w:jc w:val="both"/>
      </w:pPr>
      <w:r w:rsidRPr="002D58D5">
        <w:t>The applicant is not proposing to excavate, transport, handle, ex-situ decontaminate, or dispose contaminated soil.  Therefore, per section 2.0, this rule is not applicable.</w:t>
      </w:r>
    </w:p>
    <w:p w:rsidR="00FD6FB5" w:rsidRDefault="00FD6FB5" w:rsidP="005F4E03">
      <w:pPr>
        <w:jc w:val="both"/>
        <w:rPr>
          <w:sz w:val="22"/>
        </w:rPr>
      </w:pPr>
    </w:p>
    <w:p w:rsidR="00FD6FB5" w:rsidRDefault="00FD6FB5" w:rsidP="005F4E03">
      <w:pPr>
        <w:pStyle w:val="BodyTextIndent3"/>
        <w:ind w:left="0"/>
        <w:rPr>
          <w:b/>
          <w:bCs/>
        </w:rPr>
      </w:pPr>
      <w:r>
        <w:rPr>
          <w:b/>
          <w:bCs/>
        </w:rPr>
        <w:t>District Rule 4701 – Internal Combustion Engines</w:t>
      </w:r>
      <w:r w:rsidR="00C22EC0">
        <w:rPr>
          <w:b/>
          <w:bCs/>
        </w:rPr>
        <w:t xml:space="preserve"> - Phase I</w:t>
      </w:r>
    </w:p>
    <w:p w:rsidR="00FD6FB5" w:rsidRDefault="00FD6FB5" w:rsidP="005F4E03">
      <w:pPr>
        <w:pStyle w:val="BodyTextIndent3"/>
        <w:ind w:left="0"/>
        <w:rPr>
          <w:b/>
          <w:bCs/>
        </w:rPr>
      </w:pPr>
    </w:p>
    <w:p w:rsidR="00C22EC0" w:rsidRPr="0083525C" w:rsidRDefault="00C22EC0" w:rsidP="005F4E03">
      <w:pPr>
        <w:pStyle w:val="BodyTextIndent3"/>
        <w:ind w:left="0"/>
        <w:rPr>
          <w:bCs/>
          <w:iCs/>
        </w:rPr>
      </w:pPr>
      <w:r w:rsidRPr="0083525C">
        <w:rPr>
          <w:bCs/>
          <w:iCs/>
        </w:rPr>
        <w:t xml:space="preserve">The purpose of this rule is to limit the emissions of nitrogen oxides (NOx), carbon monoxide (CO), and volatile organic compounds (VOC) from internal combustion engines.  </w:t>
      </w:r>
      <w:r w:rsidR="008B2F73" w:rsidRPr="0083525C">
        <w:rPr>
          <w:bCs/>
          <w:iCs/>
        </w:rPr>
        <w:t xml:space="preserve">Except as provided in </w:t>
      </w:r>
      <w:r w:rsidR="008B2F73" w:rsidRPr="0083525C">
        <w:rPr>
          <w:bCs/>
          <w:iCs/>
        </w:rPr>
        <w:lastRenderedPageBreak/>
        <w:t>Section 4.0, the provisions of this rule apply to any internal combustion engine rated greater than 50 bhp that requires a PTO.</w:t>
      </w:r>
    </w:p>
    <w:p w:rsidR="00C22EC0" w:rsidRPr="0083525C" w:rsidRDefault="00C22EC0" w:rsidP="005F4E03">
      <w:pPr>
        <w:pStyle w:val="BodyTextIndent3"/>
        <w:ind w:left="0"/>
        <w:rPr>
          <w:bCs/>
          <w:iCs/>
        </w:rPr>
      </w:pPr>
    </w:p>
    <w:p w:rsidR="00C22EC0" w:rsidRPr="0083525C" w:rsidRDefault="00C22EC0" w:rsidP="005F4E03">
      <w:pPr>
        <w:pStyle w:val="BodyTextIndent3"/>
        <w:ind w:left="0"/>
        <w:rPr>
          <w:bCs/>
          <w:iCs/>
        </w:rPr>
      </w:pPr>
      <w:r w:rsidRPr="0083525C">
        <w:rPr>
          <w:bCs/>
          <w:iCs/>
        </w:rPr>
        <w:t>The proposed engine(s) are also subject to District Rule 4702, “Internal Combustion Engines”.  Since emissions limits of District Rule 4702 and all other requirements are equivalent or more stringent than District Rule 4701 requirements, compliance with District Rule 4702 requirements will satisfy requirements of District Rule 4701.</w:t>
      </w:r>
    </w:p>
    <w:p w:rsidR="00C22EC0" w:rsidRPr="0083525C" w:rsidRDefault="00C22EC0" w:rsidP="005F4E03">
      <w:pPr>
        <w:pStyle w:val="BodyTextIndent3"/>
        <w:ind w:left="0"/>
        <w:rPr>
          <w:bCs/>
          <w:iCs/>
        </w:rPr>
      </w:pPr>
    </w:p>
    <w:p w:rsidR="00C22EC0" w:rsidRDefault="00C22EC0" w:rsidP="005F4E03">
      <w:pPr>
        <w:pStyle w:val="BodyTextIndent3"/>
        <w:ind w:left="0"/>
        <w:rPr>
          <w:b/>
          <w:bCs/>
        </w:rPr>
      </w:pPr>
      <w:r>
        <w:rPr>
          <w:b/>
          <w:bCs/>
        </w:rPr>
        <w:t>District Rule 4702 – Internal Combustion Engines</w:t>
      </w:r>
    </w:p>
    <w:p w:rsidR="00EE305C" w:rsidRDefault="00EE305C" w:rsidP="005F4E03">
      <w:pPr>
        <w:pStyle w:val="BodyTextIndent3"/>
        <w:ind w:left="0"/>
        <w:rPr>
          <w:bCs/>
          <w:iCs/>
          <w:color w:val="0000FF"/>
        </w:rPr>
      </w:pPr>
    </w:p>
    <w:p w:rsidR="00C22EC0" w:rsidRPr="0083525C" w:rsidRDefault="0085713E" w:rsidP="005F4E03">
      <w:pPr>
        <w:pStyle w:val="BodyTextIndent3"/>
        <w:ind w:left="0"/>
        <w:rPr>
          <w:bCs/>
          <w:iCs/>
        </w:rPr>
      </w:pPr>
      <w:r w:rsidRPr="0083525C">
        <w:rPr>
          <w:bCs/>
          <w:iCs/>
        </w:rPr>
        <w:t>This rule applies to any internal combustion engine rated at 25 brake horsepower or greater.</w:t>
      </w:r>
    </w:p>
    <w:p w:rsidR="00EE305C" w:rsidRDefault="00EE305C">
      <w:pPr>
        <w:pStyle w:val="BodyTextIndent3"/>
        <w:ind w:left="720"/>
        <w:rPr>
          <w:b/>
          <w:bCs/>
          <w:i/>
          <w:iCs/>
          <w:color w:val="0000FF"/>
        </w:rPr>
      </w:pPr>
    </w:p>
    <w:p w:rsidR="00EE305C" w:rsidRDefault="00EE305C" w:rsidP="00EE305C">
      <w:pPr>
        <w:pStyle w:val="BodyTextIndent3"/>
        <w:ind w:left="720"/>
        <w:rPr>
          <w:b/>
          <w:bCs/>
          <w:i/>
          <w:iCs/>
          <w:color w:val="0000FF"/>
        </w:rPr>
      </w:pPr>
      <w:r>
        <w:rPr>
          <w:b/>
          <w:bCs/>
          <w:i/>
          <w:iCs/>
          <w:color w:val="0000FF"/>
        </w:rPr>
        <w:t>For Engines less than 25 bhp</w:t>
      </w:r>
    </w:p>
    <w:p w:rsidR="00EE305C" w:rsidRDefault="00EE305C">
      <w:pPr>
        <w:pStyle w:val="BodyTextIndent3"/>
        <w:ind w:left="720"/>
        <w:rPr>
          <w:b/>
          <w:bCs/>
          <w:i/>
          <w:iCs/>
          <w:color w:val="0000FF"/>
        </w:rPr>
      </w:pPr>
    </w:p>
    <w:p w:rsidR="00EE305C" w:rsidRDefault="00EE305C" w:rsidP="00EE305C">
      <w:pPr>
        <w:pStyle w:val="BodyTextIndent3"/>
        <w:ind w:left="720"/>
      </w:pPr>
      <w:r>
        <w:t>The IC engine used as the control device for this soil remediation project is rated at</w:t>
      </w:r>
      <w:r>
        <w:rPr>
          <w:color w:val="0000FF"/>
        </w:rPr>
        <w:t xml:space="preserve"> XXX</w:t>
      </w:r>
      <w:r w:rsidR="008B2F73">
        <w:rPr>
          <w:color w:val="0000FF"/>
        </w:rPr>
        <w:t xml:space="preserve"> bhp</w:t>
      </w:r>
      <w:r>
        <w:rPr>
          <w:color w:val="0000FF"/>
        </w:rPr>
        <w:t xml:space="preserve">.  </w:t>
      </w:r>
      <w:r>
        <w:t xml:space="preserve">Since this rule only applies to IC engines greater than 25 </w:t>
      </w:r>
      <w:r w:rsidR="008B2F73">
        <w:t>bhp</w:t>
      </w:r>
      <w:r>
        <w:t>, the engine is not subject to the requirements of this rule</w:t>
      </w:r>
      <w:r w:rsidR="006729EB">
        <w:t xml:space="preserve"> and no further discussion is required</w:t>
      </w:r>
      <w:r>
        <w:t>.</w:t>
      </w:r>
      <w:r w:rsidR="006729EB">
        <w:t xml:space="preserve"> </w:t>
      </w:r>
      <w:r w:rsidR="006729EB" w:rsidRPr="007009EE">
        <w:rPr>
          <w:i/>
          <w:color w:val="FF0000"/>
        </w:rPr>
        <w:t>{delete all other discussions for this rule}</w:t>
      </w:r>
    </w:p>
    <w:p w:rsidR="00EE305C" w:rsidRDefault="00EE305C">
      <w:pPr>
        <w:pStyle w:val="BodyTextIndent3"/>
        <w:ind w:left="720"/>
        <w:rPr>
          <w:b/>
          <w:bCs/>
          <w:i/>
          <w:iCs/>
          <w:color w:val="0000FF"/>
        </w:rPr>
      </w:pPr>
    </w:p>
    <w:p w:rsidR="00FD6FB5" w:rsidRDefault="00FD6FB5">
      <w:pPr>
        <w:pStyle w:val="BodyTextIndent3"/>
        <w:ind w:left="720"/>
        <w:rPr>
          <w:b/>
          <w:bCs/>
          <w:i/>
          <w:iCs/>
          <w:color w:val="0000FF"/>
        </w:rPr>
      </w:pPr>
      <w:r>
        <w:rPr>
          <w:b/>
          <w:bCs/>
          <w:i/>
          <w:iCs/>
          <w:color w:val="0000FF"/>
        </w:rPr>
        <w:t xml:space="preserve">For Engines less than 50 </w:t>
      </w:r>
      <w:r w:rsidR="00EE305C">
        <w:rPr>
          <w:b/>
          <w:bCs/>
          <w:i/>
          <w:iCs/>
          <w:color w:val="0000FF"/>
        </w:rPr>
        <w:t>b</w:t>
      </w:r>
      <w:r>
        <w:rPr>
          <w:b/>
          <w:bCs/>
          <w:i/>
          <w:iCs/>
          <w:color w:val="0000FF"/>
        </w:rPr>
        <w:t>hp</w:t>
      </w:r>
      <w:r w:rsidR="00EE305C">
        <w:rPr>
          <w:b/>
          <w:bCs/>
          <w:i/>
          <w:iCs/>
          <w:color w:val="0000FF"/>
        </w:rPr>
        <w:t xml:space="preserve"> but greater than 25 bhp</w:t>
      </w:r>
    </w:p>
    <w:p w:rsidR="00FD6FB5" w:rsidRDefault="00FD6FB5">
      <w:pPr>
        <w:pStyle w:val="BodyTextIndent3"/>
        <w:ind w:left="720"/>
        <w:rPr>
          <w:i/>
          <w:iCs/>
        </w:rPr>
      </w:pPr>
    </w:p>
    <w:p w:rsidR="00EE305C" w:rsidRPr="007009EE" w:rsidRDefault="00EE305C" w:rsidP="00EE305C">
      <w:pPr>
        <w:pStyle w:val="BodyTextIndent3"/>
        <w:ind w:left="720"/>
        <w:rPr>
          <w:iCs/>
        </w:rPr>
      </w:pPr>
      <w:r w:rsidRPr="007009EE">
        <w:rPr>
          <w:iCs/>
        </w:rPr>
        <w:t>Except for the requirements of Section 5.1, the requirements of this rule shall not</w:t>
      </w:r>
    </w:p>
    <w:p w:rsidR="00EE305C" w:rsidRPr="007009EE" w:rsidRDefault="00EE305C" w:rsidP="00EE305C">
      <w:pPr>
        <w:pStyle w:val="BodyTextIndent3"/>
        <w:ind w:left="720"/>
        <w:rPr>
          <w:iCs/>
        </w:rPr>
      </w:pPr>
      <w:r w:rsidRPr="007009EE">
        <w:rPr>
          <w:iCs/>
        </w:rPr>
        <w:t>apply to stationary engines rated at least 25 Brake Horsepower, up to and</w:t>
      </w:r>
    </w:p>
    <w:p w:rsidR="00EE305C" w:rsidRDefault="00EE305C" w:rsidP="00EE305C">
      <w:pPr>
        <w:pStyle w:val="BodyTextIndent3"/>
        <w:ind w:left="720"/>
        <w:rPr>
          <w:iCs/>
        </w:rPr>
      </w:pPr>
      <w:r w:rsidRPr="007009EE">
        <w:rPr>
          <w:iCs/>
        </w:rPr>
        <w:t>including 50 Brake Horsepower.</w:t>
      </w:r>
      <w:r w:rsidR="006729EB" w:rsidRPr="006729EB">
        <w:rPr>
          <w:spacing w:val="0"/>
        </w:rPr>
        <w:t xml:space="preserve"> </w:t>
      </w:r>
      <w:r w:rsidR="006729EB" w:rsidRPr="006729EB">
        <w:rPr>
          <w:iCs/>
        </w:rPr>
        <w:t xml:space="preserve">Since this </w:t>
      </w:r>
      <w:r w:rsidR="006729EB">
        <w:rPr>
          <w:iCs/>
        </w:rPr>
        <w:t xml:space="preserve">engine is rated between 25 and 50 bhp, </w:t>
      </w:r>
      <w:r w:rsidR="006729EB" w:rsidRPr="006729EB">
        <w:rPr>
          <w:iCs/>
        </w:rPr>
        <w:t xml:space="preserve">only </w:t>
      </w:r>
      <w:r w:rsidR="006729EB">
        <w:rPr>
          <w:iCs/>
        </w:rPr>
        <w:t xml:space="preserve">Section 5.1 </w:t>
      </w:r>
      <w:r w:rsidR="006729EB" w:rsidRPr="006729EB">
        <w:rPr>
          <w:iCs/>
        </w:rPr>
        <w:t xml:space="preserve">applies </w:t>
      </w:r>
      <w:r w:rsidR="002403F2">
        <w:rPr>
          <w:iCs/>
        </w:rPr>
        <w:t xml:space="preserve">and </w:t>
      </w:r>
      <w:r w:rsidR="006729EB" w:rsidRPr="006729EB">
        <w:rPr>
          <w:iCs/>
        </w:rPr>
        <w:t xml:space="preserve">no further discussion </w:t>
      </w:r>
      <w:r w:rsidR="006729EB">
        <w:rPr>
          <w:iCs/>
        </w:rPr>
        <w:t xml:space="preserve">aside from Section 5.1 </w:t>
      </w:r>
      <w:r w:rsidR="006729EB" w:rsidRPr="006729EB">
        <w:rPr>
          <w:iCs/>
        </w:rPr>
        <w:t xml:space="preserve">is required. </w:t>
      </w:r>
      <w:r w:rsidR="006729EB" w:rsidRPr="007009EE">
        <w:rPr>
          <w:i/>
          <w:iCs/>
          <w:color w:val="FF0000"/>
        </w:rPr>
        <w:t xml:space="preserve">{delete all other discussions for this rule </w:t>
      </w:r>
      <w:r w:rsidR="006729EB">
        <w:rPr>
          <w:i/>
          <w:iCs/>
          <w:color w:val="FF0000"/>
        </w:rPr>
        <w:t>besides</w:t>
      </w:r>
      <w:r w:rsidR="006729EB" w:rsidRPr="007009EE">
        <w:rPr>
          <w:i/>
          <w:iCs/>
          <w:color w:val="FF0000"/>
        </w:rPr>
        <w:t xml:space="preserve"> Section 5.1}</w:t>
      </w:r>
    </w:p>
    <w:p w:rsidR="00EE305C" w:rsidRPr="007009EE" w:rsidRDefault="00EE305C" w:rsidP="00EE305C">
      <w:pPr>
        <w:pStyle w:val="BodyTextIndent3"/>
        <w:ind w:left="720"/>
        <w:rPr>
          <w:iCs/>
        </w:rPr>
      </w:pPr>
    </w:p>
    <w:p w:rsidR="00FD6FB5" w:rsidRDefault="00FD6FB5">
      <w:pPr>
        <w:pStyle w:val="BodyTextIndent3"/>
        <w:ind w:left="720"/>
        <w:rPr>
          <w:color w:val="0000FF"/>
        </w:rPr>
      </w:pPr>
    </w:p>
    <w:p w:rsidR="00FD6FB5" w:rsidRDefault="00FD6FB5">
      <w:pPr>
        <w:tabs>
          <w:tab w:val="left" w:pos="-720"/>
        </w:tabs>
        <w:suppressAutoHyphens/>
        <w:ind w:left="720"/>
        <w:jc w:val="both"/>
        <w:rPr>
          <w:color w:val="0000FF"/>
        </w:rPr>
      </w:pPr>
    </w:p>
    <w:p w:rsidR="00FD6FB5" w:rsidRDefault="00FD6FB5">
      <w:pPr>
        <w:tabs>
          <w:tab w:val="left" w:pos="-720"/>
        </w:tabs>
        <w:suppressAutoHyphens/>
        <w:ind w:left="720"/>
        <w:jc w:val="both"/>
        <w:rPr>
          <w:b/>
          <w:bCs/>
          <w:i/>
          <w:iCs/>
          <w:color w:val="0000FF"/>
        </w:rPr>
      </w:pPr>
      <w:r>
        <w:rPr>
          <w:b/>
          <w:bCs/>
          <w:i/>
          <w:iCs/>
          <w:color w:val="0000FF"/>
        </w:rPr>
        <w:t xml:space="preserve">For Engines that are taking an annual limit of </w:t>
      </w:r>
      <w:r w:rsidR="00EE305C">
        <w:rPr>
          <w:b/>
          <w:bCs/>
          <w:i/>
          <w:iCs/>
          <w:color w:val="0000FF"/>
        </w:rPr>
        <w:t>2</w:t>
      </w:r>
      <w:r>
        <w:rPr>
          <w:b/>
          <w:bCs/>
          <w:i/>
          <w:iCs/>
          <w:color w:val="0000FF"/>
        </w:rPr>
        <w:t>00 hours/year</w:t>
      </w:r>
      <w:r w:rsidR="00EE305C">
        <w:rPr>
          <w:b/>
          <w:bCs/>
          <w:i/>
          <w:iCs/>
          <w:color w:val="0000FF"/>
        </w:rPr>
        <w:t xml:space="preserve"> (low-use engine)</w:t>
      </w:r>
    </w:p>
    <w:p w:rsidR="00FD6FB5" w:rsidRDefault="00FD6FB5">
      <w:pPr>
        <w:tabs>
          <w:tab w:val="left" w:pos="-720"/>
        </w:tabs>
        <w:suppressAutoHyphens/>
        <w:ind w:left="720"/>
        <w:jc w:val="both"/>
        <w:rPr>
          <w:color w:val="FF6600"/>
        </w:rPr>
      </w:pPr>
    </w:p>
    <w:p w:rsidR="00EE305C" w:rsidRPr="007009EE" w:rsidRDefault="00997086" w:rsidP="00EE305C">
      <w:pPr>
        <w:autoSpaceDE w:val="0"/>
        <w:autoSpaceDN w:val="0"/>
        <w:adjustRightInd w:val="0"/>
        <w:ind w:left="720"/>
        <w:rPr>
          <w:rFonts w:cs="Arial"/>
          <w:color w:val="FF0000"/>
        </w:rPr>
      </w:pPr>
      <w:r>
        <w:rPr>
          <w:rFonts w:cs="Arial"/>
        </w:rPr>
        <w:t>Section 4.2 states that e</w:t>
      </w:r>
      <w:r w:rsidR="00EE305C" w:rsidRPr="00EE305C">
        <w:rPr>
          <w:rFonts w:cs="Arial"/>
        </w:rPr>
        <w:t>xcept for the requirements of Sections 5.9 and 6.2.3, the requirements of this rule</w:t>
      </w:r>
      <w:r>
        <w:rPr>
          <w:rFonts w:cs="Arial"/>
        </w:rPr>
        <w:t xml:space="preserve"> </w:t>
      </w:r>
      <w:r w:rsidR="00EE305C" w:rsidRPr="00EE305C">
        <w:rPr>
          <w:rFonts w:cs="Arial"/>
        </w:rPr>
        <w:t xml:space="preserve">shall not apply to </w:t>
      </w:r>
      <w:r w:rsidR="000E4515">
        <w:rPr>
          <w:rFonts w:cs="Arial"/>
        </w:rPr>
        <w:t xml:space="preserve">a </w:t>
      </w:r>
      <w:r w:rsidR="00EE305C" w:rsidRPr="00EE305C">
        <w:rPr>
          <w:rFonts w:cs="Arial"/>
        </w:rPr>
        <w:t>low-use engine, provided that</w:t>
      </w:r>
      <w:r w:rsidR="000E4515">
        <w:rPr>
          <w:rFonts w:cs="Arial"/>
        </w:rPr>
        <w:t xml:space="preserve"> </w:t>
      </w:r>
      <w:r w:rsidR="00EE305C" w:rsidRPr="00EE305C">
        <w:rPr>
          <w:rFonts w:cs="Arial"/>
        </w:rPr>
        <w:t>the engine is operated with an operating nonresettable elapsed time meter.</w:t>
      </w:r>
      <w:r w:rsidR="006729EB" w:rsidRPr="006729EB">
        <w:rPr>
          <w:iCs/>
        </w:rPr>
        <w:t xml:space="preserve"> </w:t>
      </w:r>
      <w:r w:rsidR="006729EB" w:rsidRPr="006729EB">
        <w:rPr>
          <w:rFonts w:cs="Arial"/>
          <w:iCs/>
        </w:rPr>
        <w:t xml:space="preserve">Since this engine is </w:t>
      </w:r>
      <w:r w:rsidR="006729EB">
        <w:rPr>
          <w:rFonts w:cs="Arial"/>
          <w:iCs/>
        </w:rPr>
        <w:t>limi</w:t>
      </w:r>
      <w:r w:rsidR="006729EB" w:rsidRPr="006729EB">
        <w:rPr>
          <w:rFonts w:cs="Arial"/>
          <w:iCs/>
        </w:rPr>
        <w:t xml:space="preserve">ted </w:t>
      </w:r>
      <w:r w:rsidR="006729EB">
        <w:rPr>
          <w:rFonts w:cs="Arial"/>
          <w:iCs/>
        </w:rPr>
        <w:t>to no more than 200 hours per year, as demonstrated by an elapsed time meter,</w:t>
      </w:r>
      <w:r w:rsidR="006729EB" w:rsidRPr="006729EB">
        <w:rPr>
          <w:rFonts w:cs="Arial"/>
          <w:iCs/>
        </w:rPr>
        <w:t xml:space="preserve"> only Section</w:t>
      </w:r>
      <w:r w:rsidR="006729EB">
        <w:rPr>
          <w:rFonts w:cs="Arial"/>
          <w:iCs/>
        </w:rPr>
        <w:t>s</w:t>
      </w:r>
      <w:r w:rsidR="006729EB" w:rsidRPr="006729EB">
        <w:rPr>
          <w:rFonts w:cs="Arial"/>
          <w:iCs/>
        </w:rPr>
        <w:t xml:space="preserve"> 5.</w:t>
      </w:r>
      <w:r w:rsidR="006729EB">
        <w:rPr>
          <w:rFonts w:cs="Arial"/>
          <w:iCs/>
        </w:rPr>
        <w:t>9</w:t>
      </w:r>
      <w:r w:rsidR="006729EB" w:rsidRPr="006729EB">
        <w:rPr>
          <w:rFonts w:cs="Arial"/>
          <w:iCs/>
        </w:rPr>
        <w:t xml:space="preserve"> </w:t>
      </w:r>
      <w:r w:rsidR="006729EB">
        <w:rPr>
          <w:rFonts w:cs="Arial"/>
          <w:iCs/>
        </w:rPr>
        <w:t xml:space="preserve">and 6.2.3 </w:t>
      </w:r>
      <w:r w:rsidR="006729EB" w:rsidRPr="006729EB">
        <w:rPr>
          <w:rFonts w:cs="Arial"/>
          <w:iCs/>
        </w:rPr>
        <w:t>appl</w:t>
      </w:r>
      <w:r w:rsidR="006729EB">
        <w:rPr>
          <w:rFonts w:cs="Arial"/>
          <w:iCs/>
        </w:rPr>
        <w:t>y</w:t>
      </w:r>
      <w:r w:rsidR="002403F2">
        <w:rPr>
          <w:rFonts w:cs="Arial"/>
          <w:iCs/>
        </w:rPr>
        <w:t xml:space="preserve"> and</w:t>
      </w:r>
      <w:r w:rsidR="006729EB" w:rsidRPr="006729EB">
        <w:rPr>
          <w:rFonts w:cs="Arial"/>
          <w:iCs/>
        </w:rPr>
        <w:t xml:space="preserve"> no further discussion aside from Section</w:t>
      </w:r>
      <w:r w:rsidR="002403F2">
        <w:rPr>
          <w:rFonts w:cs="Arial"/>
          <w:iCs/>
        </w:rPr>
        <w:t>s</w:t>
      </w:r>
      <w:r w:rsidR="006729EB" w:rsidRPr="006729EB">
        <w:rPr>
          <w:rFonts w:cs="Arial"/>
          <w:iCs/>
        </w:rPr>
        <w:t xml:space="preserve"> 5.</w:t>
      </w:r>
      <w:r w:rsidR="002403F2">
        <w:rPr>
          <w:rFonts w:cs="Arial"/>
          <w:iCs/>
        </w:rPr>
        <w:t>9 and 6.2.3</w:t>
      </w:r>
      <w:r w:rsidR="006729EB" w:rsidRPr="006729EB">
        <w:rPr>
          <w:rFonts w:cs="Arial"/>
          <w:iCs/>
        </w:rPr>
        <w:t xml:space="preserve"> is required. </w:t>
      </w:r>
      <w:r w:rsidR="006729EB" w:rsidRPr="007009EE">
        <w:rPr>
          <w:rFonts w:cs="Arial"/>
          <w:i/>
          <w:iCs/>
          <w:color w:val="FF0000"/>
        </w:rPr>
        <w:t>{</w:t>
      </w:r>
      <w:r w:rsidRPr="007009EE">
        <w:rPr>
          <w:rFonts w:cs="Arial"/>
          <w:i/>
          <w:iCs/>
          <w:color w:val="FF0000"/>
        </w:rPr>
        <w:t>Delete</w:t>
      </w:r>
      <w:r w:rsidR="006729EB" w:rsidRPr="007009EE">
        <w:rPr>
          <w:rFonts w:cs="Arial"/>
          <w:i/>
          <w:iCs/>
          <w:color w:val="FF0000"/>
        </w:rPr>
        <w:t xml:space="preserve"> all other discussions for this rule besides Section</w:t>
      </w:r>
      <w:r w:rsidR="002403F2" w:rsidRPr="007009EE">
        <w:rPr>
          <w:rFonts w:cs="Arial"/>
          <w:i/>
          <w:iCs/>
          <w:color w:val="FF0000"/>
        </w:rPr>
        <w:t>s</w:t>
      </w:r>
      <w:r w:rsidR="006729EB" w:rsidRPr="007009EE">
        <w:rPr>
          <w:rFonts w:cs="Arial"/>
          <w:i/>
          <w:iCs/>
          <w:color w:val="FF0000"/>
        </w:rPr>
        <w:t xml:space="preserve"> 5.</w:t>
      </w:r>
      <w:r w:rsidR="002403F2" w:rsidRPr="007009EE">
        <w:rPr>
          <w:rFonts w:cs="Arial"/>
          <w:i/>
          <w:iCs/>
          <w:color w:val="FF0000"/>
        </w:rPr>
        <w:t xml:space="preserve">9 </w:t>
      </w:r>
      <w:r w:rsidRPr="007009EE">
        <w:rPr>
          <w:rFonts w:cs="Arial"/>
          <w:i/>
          <w:iCs/>
          <w:color w:val="FF0000"/>
        </w:rPr>
        <w:t>and</w:t>
      </w:r>
      <w:r w:rsidR="002403F2" w:rsidRPr="007009EE">
        <w:rPr>
          <w:rFonts w:cs="Arial"/>
          <w:i/>
          <w:iCs/>
          <w:color w:val="FF0000"/>
        </w:rPr>
        <w:t xml:space="preserve"> 6.2.3</w:t>
      </w:r>
      <w:r w:rsidR="006729EB" w:rsidRPr="007009EE">
        <w:rPr>
          <w:rFonts w:cs="Arial"/>
          <w:i/>
          <w:iCs/>
          <w:color w:val="FF0000"/>
        </w:rPr>
        <w:t>}</w:t>
      </w:r>
    </w:p>
    <w:p w:rsidR="00EE305C" w:rsidRDefault="00EE305C" w:rsidP="00EE305C">
      <w:pPr>
        <w:autoSpaceDE w:val="0"/>
        <w:autoSpaceDN w:val="0"/>
        <w:adjustRightInd w:val="0"/>
        <w:ind w:left="720"/>
        <w:rPr>
          <w:rFonts w:cs="Arial"/>
        </w:rPr>
      </w:pPr>
    </w:p>
    <w:p w:rsidR="00EE305C" w:rsidRPr="0083525C" w:rsidRDefault="00EE305C" w:rsidP="00EE305C">
      <w:pPr>
        <w:autoSpaceDE w:val="0"/>
        <w:autoSpaceDN w:val="0"/>
        <w:adjustRightInd w:val="0"/>
        <w:ind w:left="720"/>
        <w:rPr>
          <w:rFonts w:cs="Arial"/>
          <w:b/>
          <w:i/>
          <w:color w:val="0000FF"/>
        </w:rPr>
      </w:pPr>
      <w:r w:rsidRPr="0083525C">
        <w:rPr>
          <w:rFonts w:cs="Arial"/>
          <w:b/>
          <w:i/>
          <w:color w:val="0000FF"/>
        </w:rPr>
        <w:t>For engines that are permitted under a District Portable Equipment Registration</w:t>
      </w:r>
    </w:p>
    <w:p w:rsidR="00EE305C" w:rsidRDefault="00EE305C" w:rsidP="00EE305C">
      <w:pPr>
        <w:autoSpaceDE w:val="0"/>
        <w:autoSpaceDN w:val="0"/>
        <w:adjustRightInd w:val="0"/>
        <w:ind w:left="720"/>
        <w:rPr>
          <w:rFonts w:cs="Arial"/>
        </w:rPr>
      </w:pPr>
    </w:p>
    <w:p w:rsidR="00EE305C" w:rsidRDefault="00997086" w:rsidP="00EE305C">
      <w:pPr>
        <w:autoSpaceDE w:val="0"/>
        <w:autoSpaceDN w:val="0"/>
        <w:adjustRightInd w:val="0"/>
        <w:ind w:left="720"/>
        <w:rPr>
          <w:rFonts w:cs="Arial"/>
        </w:rPr>
      </w:pPr>
      <w:r>
        <w:rPr>
          <w:rFonts w:cs="Arial"/>
        </w:rPr>
        <w:t>Section 4.1.7 states that t</w:t>
      </w:r>
      <w:r w:rsidR="00EE305C" w:rsidRPr="00EE305C">
        <w:rPr>
          <w:rFonts w:cs="Arial"/>
        </w:rPr>
        <w:t>he requirements of this rule shall not apply to</w:t>
      </w:r>
      <w:r w:rsidR="00EE305C" w:rsidRPr="00EE305C">
        <w:rPr>
          <w:rFonts w:ascii="Times-Roman" w:hAnsi="Times-Roman" w:cs="Times-Roman"/>
          <w:szCs w:val="24"/>
        </w:rPr>
        <w:t xml:space="preserve"> </w:t>
      </w:r>
      <w:r w:rsidR="000E4515">
        <w:rPr>
          <w:rFonts w:cs="Arial"/>
        </w:rPr>
        <w:t>an</w:t>
      </w:r>
      <w:r w:rsidR="00EE305C" w:rsidRPr="00EE305C">
        <w:rPr>
          <w:rFonts w:cs="Arial"/>
        </w:rPr>
        <w:t xml:space="preserve"> internal combustion engine registered as a portable emissions unit under</w:t>
      </w:r>
      <w:r w:rsidR="00EE305C">
        <w:rPr>
          <w:rFonts w:cs="Arial"/>
        </w:rPr>
        <w:t xml:space="preserve"> </w:t>
      </w:r>
      <w:r w:rsidR="00EE305C" w:rsidRPr="00EE305C">
        <w:rPr>
          <w:rFonts w:cs="Arial"/>
        </w:rPr>
        <w:t>Rule 2280 (Portable Equipment Registration).</w:t>
      </w:r>
    </w:p>
    <w:p w:rsidR="006729EB" w:rsidRDefault="006729EB" w:rsidP="00EE305C">
      <w:pPr>
        <w:autoSpaceDE w:val="0"/>
        <w:autoSpaceDN w:val="0"/>
        <w:adjustRightInd w:val="0"/>
        <w:ind w:left="720"/>
        <w:rPr>
          <w:rFonts w:cs="Arial"/>
        </w:rPr>
      </w:pPr>
    </w:p>
    <w:p w:rsidR="00997086" w:rsidRPr="007009EE" w:rsidRDefault="006729EB" w:rsidP="00997086">
      <w:pPr>
        <w:pStyle w:val="BodyTextIndent3"/>
        <w:ind w:left="720"/>
        <w:rPr>
          <w:color w:val="FF0000"/>
        </w:rPr>
      </w:pPr>
      <w:r>
        <w:rPr>
          <w:rFonts w:cs="Arial"/>
        </w:rPr>
        <w:lastRenderedPageBreak/>
        <w:t xml:space="preserve">Since the engine utilized for the soil remediation operates under a </w:t>
      </w:r>
      <w:r w:rsidR="00997086">
        <w:rPr>
          <w:rFonts w:cs="Arial"/>
        </w:rPr>
        <w:t>District</w:t>
      </w:r>
      <w:r>
        <w:rPr>
          <w:rFonts w:cs="Arial"/>
        </w:rPr>
        <w:t xml:space="preserve"> Portable Equipment Registration, the provisions of this rule do no not </w:t>
      </w:r>
      <w:r w:rsidR="00997086">
        <w:rPr>
          <w:rFonts w:cs="Arial"/>
        </w:rPr>
        <w:t>apply</w:t>
      </w:r>
      <w:r>
        <w:rPr>
          <w:rFonts w:cs="Arial"/>
        </w:rPr>
        <w:t xml:space="preserve"> and no further discussion is required</w:t>
      </w:r>
      <w:r w:rsidR="00997086">
        <w:rPr>
          <w:rFonts w:cs="Arial"/>
        </w:rPr>
        <w:t>.</w:t>
      </w:r>
      <w:r>
        <w:rPr>
          <w:rFonts w:cs="Arial"/>
        </w:rPr>
        <w:t xml:space="preserve"> </w:t>
      </w:r>
      <w:r w:rsidR="00997086" w:rsidRPr="00997086">
        <w:rPr>
          <w:i/>
          <w:color w:val="FF0000"/>
        </w:rPr>
        <w:t>{Delete all other discussions for this rule}</w:t>
      </w:r>
    </w:p>
    <w:p w:rsidR="000E4515" w:rsidRDefault="000E4515" w:rsidP="00EE305C">
      <w:pPr>
        <w:autoSpaceDE w:val="0"/>
        <w:autoSpaceDN w:val="0"/>
        <w:adjustRightInd w:val="0"/>
        <w:ind w:left="720"/>
        <w:rPr>
          <w:rFonts w:cs="Arial"/>
        </w:rPr>
      </w:pPr>
    </w:p>
    <w:p w:rsidR="000E4515" w:rsidRPr="0083525C" w:rsidRDefault="000E4515" w:rsidP="000E4515">
      <w:pPr>
        <w:autoSpaceDE w:val="0"/>
        <w:autoSpaceDN w:val="0"/>
        <w:adjustRightInd w:val="0"/>
        <w:ind w:left="720"/>
        <w:rPr>
          <w:rFonts w:cs="Arial"/>
          <w:b/>
          <w:i/>
          <w:color w:val="0000FF"/>
        </w:rPr>
      </w:pPr>
      <w:r w:rsidRPr="0083525C">
        <w:rPr>
          <w:rFonts w:cs="Arial"/>
          <w:b/>
          <w:i/>
          <w:color w:val="0000FF"/>
        </w:rPr>
        <w:t>For engines that are permitted under a State of California Portable Equipment Registration</w:t>
      </w:r>
    </w:p>
    <w:p w:rsidR="000E4515" w:rsidRDefault="000E4515" w:rsidP="00EE305C">
      <w:pPr>
        <w:autoSpaceDE w:val="0"/>
        <w:autoSpaceDN w:val="0"/>
        <w:adjustRightInd w:val="0"/>
        <w:ind w:left="720"/>
        <w:rPr>
          <w:rFonts w:cs="Arial"/>
        </w:rPr>
      </w:pPr>
    </w:p>
    <w:p w:rsidR="000E4515" w:rsidRDefault="00997086" w:rsidP="000E4515">
      <w:pPr>
        <w:autoSpaceDE w:val="0"/>
        <w:autoSpaceDN w:val="0"/>
        <w:adjustRightInd w:val="0"/>
        <w:ind w:left="720"/>
        <w:rPr>
          <w:rFonts w:cs="Arial"/>
        </w:rPr>
      </w:pPr>
      <w:r>
        <w:rPr>
          <w:rFonts w:cs="Arial"/>
        </w:rPr>
        <w:t>Section 4.1.6 states that t</w:t>
      </w:r>
      <w:r w:rsidR="000E4515" w:rsidRPr="00EE305C">
        <w:rPr>
          <w:rFonts w:cs="Arial"/>
        </w:rPr>
        <w:t>he requirements of this rule shall not apply to</w:t>
      </w:r>
      <w:r w:rsidR="000E4515" w:rsidRPr="00EE305C">
        <w:rPr>
          <w:rFonts w:ascii="Times-Roman" w:hAnsi="Times-Roman" w:cs="Times-Roman"/>
          <w:szCs w:val="24"/>
        </w:rPr>
        <w:t xml:space="preserve"> </w:t>
      </w:r>
      <w:r w:rsidR="000E4515">
        <w:rPr>
          <w:rFonts w:cs="Arial"/>
        </w:rPr>
        <w:t>a</w:t>
      </w:r>
      <w:r w:rsidR="000E4515" w:rsidRPr="000E4515">
        <w:rPr>
          <w:rFonts w:cs="Arial"/>
        </w:rPr>
        <w:t>n internal combustion engine registered as a portable emissions unit under</w:t>
      </w:r>
      <w:r w:rsidR="000E4515">
        <w:rPr>
          <w:rFonts w:cs="Arial"/>
        </w:rPr>
        <w:t xml:space="preserve"> </w:t>
      </w:r>
      <w:r w:rsidR="000E4515" w:rsidRPr="000E4515">
        <w:rPr>
          <w:rFonts w:cs="Arial"/>
        </w:rPr>
        <w:t>the Statewide Portable Equipment Registration Program pursuant to</w:t>
      </w:r>
      <w:r w:rsidR="000E4515">
        <w:rPr>
          <w:rFonts w:cs="Arial"/>
        </w:rPr>
        <w:t xml:space="preserve"> </w:t>
      </w:r>
      <w:r w:rsidR="000E4515" w:rsidRPr="000E4515">
        <w:rPr>
          <w:rFonts w:cs="Arial"/>
        </w:rPr>
        <w:t>California Code of Regulations Title 13, Division 3, Chapter 9, Article 5,</w:t>
      </w:r>
      <w:r w:rsidR="000E4515">
        <w:rPr>
          <w:rFonts w:cs="Arial"/>
        </w:rPr>
        <w:t xml:space="preserve"> </w:t>
      </w:r>
      <w:r w:rsidR="000E4515" w:rsidRPr="000E4515">
        <w:rPr>
          <w:rFonts w:cs="Arial"/>
        </w:rPr>
        <w:t>Sections 2450-2465.</w:t>
      </w:r>
    </w:p>
    <w:p w:rsidR="00997086" w:rsidRDefault="00997086" w:rsidP="000E4515">
      <w:pPr>
        <w:autoSpaceDE w:val="0"/>
        <w:autoSpaceDN w:val="0"/>
        <w:adjustRightInd w:val="0"/>
        <w:ind w:left="720"/>
        <w:rPr>
          <w:rFonts w:cs="Arial"/>
        </w:rPr>
      </w:pPr>
    </w:p>
    <w:p w:rsidR="00997086" w:rsidRDefault="00997086" w:rsidP="00997086">
      <w:pPr>
        <w:pStyle w:val="BodyTextIndent3"/>
        <w:ind w:left="720"/>
      </w:pPr>
      <w:r>
        <w:rPr>
          <w:rFonts w:cs="Arial"/>
        </w:rPr>
        <w:t xml:space="preserve">Since the engine utilized for the soil remediation operates under a Statewide Portable Equipment Registration Program, the provisions of this rule do no not apply and no further discussion is required. </w:t>
      </w:r>
      <w:r w:rsidRPr="00997086">
        <w:rPr>
          <w:i/>
          <w:color w:val="FF0000"/>
        </w:rPr>
        <w:t>{Delete all other discussions for this rule}</w:t>
      </w:r>
    </w:p>
    <w:p w:rsidR="00FD6FB5" w:rsidRDefault="00FD6FB5">
      <w:pPr>
        <w:tabs>
          <w:tab w:val="left" w:pos="-720"/>
        </w:tabs>
        <w:suppressAutoHyphens/>
        <w:ind w:left="720"/>
        <w:jc w:val="both"/>
        <w:rPr>
          <w:color w:val="0000FF"/>
        </w:rPr>
      </w:pPr>
    </w:p>
    <w:p w:rsidR="00FD6FB5" w:rsidRDefault="00FD6FB5">
      <w:pPr>
        <w:suppressAutoHyphens/>
        <w:ind w:firstLine="720"/>
        <w:jc w:val="both"/>
        <w:rPr>
          <w:i/>
          <w:iCs/>
          <w:color w:val="0000FF"/>
        </w:rPr>
      </w:pPr>
      <w:r>
        <w:rPr>
          <w:b/>
          <w:bCs/>
          <w:i/>
          <w:iCs/>
          <w:color w:val="0000FF"/>
        </w:rPr>
        <w:t xml:space="preserve">For </w:t>
      </w:r>
      <w:r w:rsidR="00BA211F">
        <w:rPr>
          <w:b/>
          <w:bCs/>
          <w:i/>
          <w:iCs/>
          <w:color w:val="0000FF"/>
        </w:rPr>
        <w:t>f</w:t>
      </w:r>
      <w:r>
        <w:rPr>
          <w:b/>
          <w:bCs/>
          <w:i/>
          <w:iCs/>
          <w:color w:val="0000FF"/>
        </w:rPr>
        <w:t xml:space="preserve">ull-time, engines greater than 50 </w:t>
      </w:r>
      <w:r w:rsidR="008B2F73">
        <w:rPr>
          <w:b/>
          <w:bCs/>
          <w:i/>
          <w:iCs/>
          <w:color w:val="0000FF"/>
        </w:rPr>
        <w:t>bhp</w:t>
      </w:r>
      <w:r w:rsidR="00BA211F">
        <w:rPr>
          <w:i/>
          <w:iCs/>
          <w:color w:val="0000FF"/>
        </w:rPr>
        <w:t xml:space="preserve"> </w:t>
      </w:r>
    </w:p>
    <w:p w:rsidR="0083525C" w:rsidRDefault="0083525C">
      <w:pPr>
        <w:suppressAutoHyphens/>
        <w:ind w:firstLine="720"/>
        <w:jc w:val="both"/>
        <w:rPr>
          <w:i/>
          <w:iCs/>
          <w:color w:val="0000FF"/>
        </w:rPr>
      </w:pPr>
    </w:p>
    <w:p w:rsidR="00FD6FB5" w:rsidRDefault="00FD6FB5" w:rsidP="009A4D6E">
      <w:pPr>
        <w:autoSpaceDE w:val="0"/>
        <w:autoSpaceDN w:val="0"/>
        <w:adjustRightInd w:val="0"/>
        <w:ind w:left="720"/>
        <w:jc w:val="both"/>
        <w:rPr>
          <w:rFonts w:cs="Arial"/>
          <w:szCs w:val="24"/>
        </w:rPr>
      </w:pPr>
      <w:r>
        <w:t>Pursuant to Section 5.</w:t>
      </w:r>
      <w:r w:rsidR="009A4D6E">
        <w:t>2</w:t>
      </w:r>
      <w:r>
        <w:t xml:space="preserve">, </w:t>
      </w:r>
      <w:r w:rsidR="009A4D6E" w:rsidRPr="009A4D6E">
        <w:rPr>
          <w:rFonts w:cs="Arial"/>
          <w:szCs w:val="24"/>
        </w:rPr>
        <w:t>The operator of a spark-ignited internal combustion engine rated at &gt;50</w:t>
      </w:r>
      <w:r w:rsidR="009A4D6E">
        <w:rPr>
          <w:rFonts w:cs="Arial"/>
          <w:szCs w:val="24"/>
        </w:rPr>
        <w:t xml:space="preserve"> </w:t>
      </w:r>
      <w:r w:rsidR="009A4D6E" w:rsidRPr="009A4D6E">
        <w:rPr>
          <w:rFonts w:cs="Arial"/>
          <w:szCs w:val="24"/>
        </w:rPr>
        <w:t>bhp that is used exclusively in non-AO shall not operate it in such a</w:t>
      </w:r>
      <w:r w:rsidR="009A4D6E">
        <w:rPr>
          <w:rFonts w:cs="Arial"/>
          <w:szCs w:val="24"/>
        </w:rPr>
        <w:t xml:space="preserve"> </w:t>
      </w:r>
      <w:r w:rsidR="009A4D6E" w:rsidRPr="009A4D6E">
        <w:rPr>
          <w:rFonts w:cs="Arial"/>
          <w:szCs w:val="24"/>
        </w:rPr>
        <w:t>manner that results in emissions exceeding the limits in Table 1 for the</w:t>
      </w:r>
      <w:r w:rsidR="009A4D6E">
        <w:rPr>
          <w:rFonts w:cs="Arial"/>
          <w:szCs w:val="24"/>
        </w:rPr>
        <w:t xml:space="preserve"> </w:t>
      </w:r>
      <w:r w:rsidR="009A4D6E" w:rsidRPr="009A4D6E">
        <w:rPr>
          <w:rFonts w:cs="Arial"/>
          <w:szCs w:val="24"/>
        </w:rPr>
        <w:t>appropriate engine type until such time that the engine has demonstrated</w:t>
      </w:r>
      <w:r w:rsidR="009A4D6E">
        <w:rPr>
          <w:rFonts w:cs="Arial"/>
          <w:szCs w:val="24"/>
        </w:rPr>
        <w:t xml:space="preserve"> </w:t>
      </w:r>
      <w:r w:rsidR="009A4D6E" w:rsidRPr="009A4D6E">
        <w:rPr>
          <w:rFonts w:cs="Arial"/>
          <w:szCs w:val="24"/>
        </w:rPr>
        <w:t>compliance with Table 2 emission limits pursuant to the compliance</w:t>
      </w:r>
      <w:r w:rsidR="009A4D6E">
        <w:rPr>
          <w:rFonts w:cs="Arial"/>
          <w:szCs w:val="24"/>
        </w:rPr>
        <w:t xml:space="preserve"> </w:t>
      </w:r>
      <w:r w:rsidR="009A4D6E" w:rsidRPr="009A4D6E">
        <w:rPr>
          <w:rFonts w:cs="Arial"/>
          <w:szCs w:val="24"/>
        </w:rPr>
        <w:t>deadlines in Section 7.5. In lieu of complying with Table 1 emission</w:t>
      </w:r>
      <w:r w:rsidR="009A4D6E">
        <w:rPr>
          <w:rFonts w:cs="Arial"/>
          <w:szCs w:val="24"/>
        </w:rPr>
        <w:t xml:space="preserve"> </w:t>
      </w:r>
      <w:r w:rsidR="009A4D6E" w:rsidRPr="009A4D6E">
        <w:rPr>
          <w:rFonts w:cs="Arial"/>
          <w:szCs w:val="24"/>
        </w:rPr>
        <w:t>limits, the operator of a spark-ignited engine shall comply with the</w:t>
      </w:r>
      <w:r w:rsidR="009A4D6E">
        <w:rPr>
          <w:rFonts w:cs="Arial"/>
          <w:szCs w:val="24"/>
        </w:rPr>
        <w:t xml:space="preserve"> </w:t>
      </w:r>
      <w:r w:rsidR="009A4D6E" w:rsidRPr="009A4D6E">
        <w:rPr>
          <w:rFonts w:cs="Arial"/>
          <w:szCs w:val="24"/>
        </w:rPr>
        <w:t>applicable emission limits pursuant to Section 8.0.</w:t>
      </w:r>
      <w:r>
        <w:rPr>
          <w:rFonts w:cs="Arial"/>
          <w:szCs w:val="24"/>
        </w:rPr>
        <w:t xml:space="preserve">  </w:t>
      </w:r>
    </w:p>
    <w:p w:rsidR="00FD6FB5" w:rsidRDefault="00FD6FB5">
      <w:pPr>
        <w:autoSpaceDE w:val="0"/>
        <w:autoSpaceDN w:val="0"/>
        <w:adjustRightInd w:val="0"/>
        <w:ind w:left="720"/>
        <w:jc w:val="both"/>
        <w:rPr>
          <w:rFonts w:cs="Arial"/>
          <w:szCs w:val="24"/>
        </w:rPr>
      </w:pPr>
    </w:p>
    <w:p w:rsidR="00FD6FB5" w:rsidRDefault="00FD6FB5">
      <w:pPr>
        <w:tabs>
          <w:tab w:val="left" w:pos="-720"/>
          <w:tab w:val="left" w:pos="0"/>
        </w:tabs>
        <w:suppressAutoHyphens/>
        <w:ind w:left="720"/>
        <w:jc w:val="both"/>
      </w:pPr>
      <w:r>
        <w:t xml:space="preserve">The engine proposed by </w:t>
      </w:r>
      <w:r>
        <w:rPr>
          <w:color w:val="0000FF"/>
        </w:rPr>
        <w:t>Facility Name</w:t>
      </w:r>
      <w:r>
        <w:t xml:space="preserve"> is subject to the NO</w:t>
      </w:r>
      <w:r>
        <w:rPr>
          <w:vertAlign w:val="subscript"/>
        </w:rPr>
        <w:t>X</w:t>
      </w:r>
      <w:r>
        <w:t>, CO and VOC emission limits of Section 5.</w:t>
      </w:r>
      <w:r w:rsidR="009A4D6E">
        <w:t>2.</w:t>
      </w:r>
      <w:r>
        <w:t xml:space="preserve">1, Table </w:t>
      </w:r>
      <w:r w:rsidR="009A4D6E">
        <w:t>1</w:t>
      </w:r>
      <w:r>
        <w:t xml:space="preserve">, Category </w:t>
      </w:r>
      <w:r w:rsidR="009A4D6E">
        <w:t>1</w:t>
      </w:r>
      <w:r>
        <w:t>.c (</w:t>
      </w:r>
      <w:r w:rsidR="009A4D6E">
        <w:t>Rich-Burn; all other engines</w:t>
      </w:r>
      <w:r>
        <w:t>)</w:t>
      </w:r>
      <w:r w:rsidR="00CE0E38">
        <w:t xml:space="preserve"> and on and after 1/1/2014</w:t>
      </w:r>
      <w:r w:rsidR="008439B5">
        <w:t xml:space="preserve"> [will be/is] subject to Table 2, Category [1.c/1.d], [Limited Use/All other engines]</w:t>
      </w:r>
      <w:r>
        <w:t xml:space="preserve">. The applicant is proposing to operate the engine </w:t>
      </w:r>
      <w:r w:rsidR="009A4D6E">
        <w:t xml:space="preserve">at or </w:t>
      </w:r>
      <w:r>
        <w:t>below the NO</w:t>
      </w:r>
      <w:r>
        <w:rPr>
          <w:vertAlign w:val="subscript"/>
        </w:rPr>
        <w:t>X</w:t>
      </w:r>
      <w:r>
        <w:t>, CO and VOC emission limits shown in the following table:</w:t>
      </w:r>
    </w:p>
    <w:p w:rsidR="00FD6FB5" w:rsidRDefault="00FD6FB5">
      <w:pPr>
        <w:tabs>
          <w:tab w:val="left" w:pos="-720"/>
          <w:tab w:val="left" w:pos="0"/>
        </w:tabs>
        <w:suppressAutoHyphens/>
        <w:ind w:left="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6"/>
        <w:gridCol w:w="2058"/>
        <w:gridCol w:w="2058"/>
        <w:gridCol w:w="2058"/>
      </w:tblGrid>
      <w:tr w:rsidR="00FD6FB5" w:rsidTr="006B0360">
        <w:trPr>
          <w:cantSplit/>
        </w:trPr>
        <w:tc>
          <w:tcPr>
            <w:tcW w:w="8280" w:type="dxa"/>
            <w:gridSpan w:val="4"/>
            <w:tcBorders>
              <w:top w:val="double" w:sz="4" w:space="0" w:color="auto"/>
              <w:left w:val="double" w:sz="4" w:space="0" w:color="auto"/>
              <w:bottom w:val="double" w:sz="4" w:space="0" w:color="auto"/>
              <w:right w:val="double" w:sz="4" w:space="0" w:color="auto"/>
            </w:tcBorders>
            <w:shd w:val="clear" w:color="auto" w:fill="auto"/>
          </w:tcPr>
          <w:p w:rsidR="00FD6FB5" w:rsidRPr="007009EE" w:rsidRDefault="00FD6FB5" w:rsidP="002878C5">
            <w:pPr>
              <w:tabs>
                <w:tab w:val="left" w:pos="-720"/>
                <w:tab w:val="left" w:pos="0"/>
              </w:tabs>
              <w:suppressAutoHyphens/>
              <w:jc w:val="center"/>
              <w:rPr>
                <w:b/>
                <w:bCs/>
                <w:sz w:val="22"/>
                <w:szCs w:val="22"/>
              </w:rPr>
            </w:pPr>
            <w:r w:rsidRPr="007009EE">
              <w:rPr>
                <w:b/>
                <w:bCs/>
                <w:sz w:val="22"/>
                <w:szCs w:val="22"/>
              </w:rPr>
              <w:t>Table 1 Engine Emission Levels</w:t>
            </w:r>
            <w:r w:rsidR="00FA1A74" w:rsidRPr="007009EE">
              <w:rPr>
                <w:b/>
                <w:bCs/>
                <w:sz w:val="22"/>
                <w:szCs w:val="22"/>
              </w:rPr>
              <w:t xml:space="preserve"> @15% O</w:t>
            </w:r>
            <w:r w:rsidR="00FA1A74" w:rsidRPr="007009EE">
              <w:rPr>
                <w:b/>
                <w:bCs/>
                <w:sz w:val="22"/>
                <w:szCs w:val="22"/>
                <w:vertAlign w:val="subscript"/>
              </w:rPr>
              <w:t>2</w:t>
            </w:r>
          </w:p>
        </w:tc>
      </w:tr>
      <w:tr w:rsidR="00FD6FB5" w:rsidTr="00575356">
        <w:tc>
          <w:tcPr>
            <w:tcW w:w="2106" w:type="dxa"/>
            <w:tcBorders>
              <w:top w:val="double" w:sz="4" w:space="0" w:color="auto"/>
              <w:left w:val="double" w:sz="4" w:space="0" w:color="auto"/>
              <w:bottom w:val="double" w:sz="4" w:space="0" w:color="auto"/>
            </w:tcBorders>
            <w:shd w:val="clear" w:color="auto" w:fill="auto"/>
          </w:tcPr>
          <w:p w:rsidR="00FD6FB5" w:rsidRPr="007009EE" w:rsidRDefault="00FA1A74" w:rsidP="00FA1A74">
            <w:pPr>
              <w:tabs>
                <w:tab w:val="left" w:pos="-720"/>
                <w:tab w:val="left" w:pos="0"/>
              </w:tabs>
              <w:suppressAutoHyphens/>
              <w:jc w:val="center"/>
              <w:rPr>
                <w:sz w:val="22"/>
                <w:szCs w:val="22"/>
              </w:rPr>
            </w:pPr>
            <w:r w:rsidRPr="007009EE">
              <w:rPr>
                <w:sz w:val="22"/>
                <w:szCs w:val="22"/>
              </w:rPr>
              <w:t>Engine Type (Rich-Burn)</w:t>
            </w:r>
          </w:p>
        </w:tc>
        <w:tc>
          <w:tcPr>
            <w:tcW w:w="2058" w:type="dxa"/>
            <w:tcBorders>
              <w:top w:val="double" w:sz="4" w:space="0" w:color="auto"/>
              <w:bottom w:val="double" w:sz="4" w:space="0" w:color="auto"/>
            </w:tcBorders>
            <w:shd w:val="clear" w:color="auto" w:fill="auto"/>
          </w:tcPr>
          <w:p w:rsidR="00FD6FB5" w:rsidRPr="007009EE" w:rsidRDefault="00FD6FB5">
            <w:pPr>
              <w:tabs>
                <w:tab w:val="left" w:pos="-720"/>
                <w:tab w:val="left" w:pos="0"/>
              </w:tabs>
              <w:suppressAutoHyphens/>
              <w:jc w:val="center"/>
              <w:rPr>
                <w:sz w:val="22"/>
                <w:szCs w:val="22"/>
              </w:rPr>
            </w:pPr>
            <w:r w:rsidRPr="007009EE">
              <w:rPr>
                <w:sz w:val="22"/>
                <w:szCs w:val="22"/>
              </w:rPr>
              <w:t>NOx</w:t>
            </w:r>
          </w:p>
        </w:tc>
        <w:tc>
          <w:tcPr>
            <w:tcW w:w="2058" w:type="dxa"/>
            <w:tcBorders>
              <w:top w:val="double" w:sz="4" w:space="0" w:color="auto"/>
              <w:bottom w:val="double" w:sz="4" w:space="0" w:color="auto"/>
            </w:tcBorders>
            <w:shd w:val="clear" w:color="auto" w:fill="auto"/>
          </w:tcPr>
          <w:p w:rsidR="00FD6FB5" w:rsidRPr="007009EE" w:rsidRDefault="00FD6FB5">
            <w:pPr>
              <w:tabs>
                <w:tab w:val="left" w:pos="-720"/>
                <w:tab w:val="left" w:pos="0"/>
              </w:tabs>
              <w:suppressAutoHyphens/>
              <w:jc w:val="center"/>
              <w:rPr>
                <w:sz w:val="22"/>
                <w:szCs w:val="22"/>
              </w:rPr>
            </w:pPr>
            <w:r w:rsidRPr="007009EE">
              <w:rPr>
                <w:sz w:val="22"/>
                <w:szCs w:val="22"/>
              </w:rPr>
              <w:t>CO</w:t>
            </w:r>
          </w:p>
        </w:tc>
        <w:tc>
          <w:tcPr>
            <w:tcW w:w="2058" w:type="dxa"/>
            <w:tcBorders>
              <w:top w:val="double" w:sz="4" w:space="0" w:color="auto"/>
              <w:bottom w:val="double" w:sz="4" w:space="0" w:color="auto"/>
              <w:right w:val="double" w:sz="4" w:space="0" w:color="auto"/>
            </w:tcBorders>
            <w:shd w:val="clear" w:color="auto" w:fill="auto"/>
          </w:tcPr>
          <w:p w:rsidR="00FD6FB5" w:rsidRPr="007009EE" w:rsidRDefault="00FD6FB5">
            <w:pPr>
              <w:tabs>
                <w:tab w:val="left" w:pos="-720"/>
                <w:tab w:val="left" w:pos="0"/>
              </w:tabs>
              <w:suppressAutoHyphens/>
              <w:jc w:val="center"/>
              <w:rPr>
                <w:sz w:val="22"/>
                <w:szCs w:val="22"/>
              </w:rPr>
            </w:pPr>
            <w:r w:rsidRPr="007009EE">
              <w:rPr>
                <w:sz w:val="22"/>
                <w:szCs w:val="22"/>
              </w:rPr>
              <w:t>VOC</w:t>
            </w:r>
          </w:p>
        </w:tc>
      </w:tr>
      <w:tr w:rsidR="00FD6FB5">
        <w:tc>
          <w:tcPr>
            <w:tcW w:w="2106" w:type="dxa"/>
            <w:tcBorders>
              <w:top w:val="double" w:sz="4" w:space="0" w:color="auto"/>
              <w:left w:val="double" w:sz="4" w:space="0" w:color="auto"/>
              <w:bottom w:val="double" w:sz="4" w:space="0" w:color="auto"/>
            </w:tcBorders>
          </w:tcPr>
          <w:p w:rsidR="00FD6FB5" w:rsidRPr="007009EE" w:rsidRDefault="00F63A41">
            <w:pPr>
              <w:tabs>
                <w:tab w:val="left" w:pos="-720"/>
                <w:tab w:val="left" w:pos="0"/>
              </w:tabs>
              <w:suppressAutoHyphens/>
              <w:jc w:val="center"/>
              <w:rPr>
                <w:sz w:val="22"/>
                <w:szCs w:val="22"/>
              </w:rPr>
            </w:pPr>
            <w:r w:rsidRPr="007009EE">
              <w:rPr>
                <w:sz w:val="22"/>
                <w:szCs w:val="22"/>
              </w:rPr>
              <w:t>Category 1.c</w:t>
            </w:r>
          </w:p>
        </w:tc>
        <w:tc>
          <w:tcPr>
            <w:tcW w:w="2058" w:type="dxa"/>
            <w:tcBorders>
              <w:top w:val="double" w:sz="4" w:space="0" w:color="auto"/>
              <w:bottom w:val="double" w:sz="4" w:space="0" w:color="auto"/>
            </w:tcBorders>
          </w:tcPr>
          <w:p w:rsidR="00FD6FB5" w:rsidRPr="007009EE" w:rsidRDefault="002878C5" w:rsidP="002878C5">
            <w:pPr>
              <w:tabs>
                <w:tab w:val="left" w:pos="-720"/>
                <w:tab w:val="left" w:pos="0"/>
              </w:tabs>
              <w:suppressAutoHyphens/>
              <w:jc w:val="center"/>
              <w:rPr>
                <w:sz w:val="22"/>
                <w:szCs w:val="22"/>
              </w:rPr>
            </w:pPr>
            <w:r w:rsidRPr="007009EE">
              <w:rPr>
                <w:sz w:val="22"/>
                <w:szCs w:val="22"/>
              </w:rPr>
              <w:t>25</w:t>
            </w:r>
            <w:r w:rsidR="00FD6FB5" w:rsidRPr="007009EE">
              <w:rPr>
                <w:sz w:val="22"/>
                <w:szCs w:val="22"/>
              </w:rPr>
              <w:t xml:space="preserve"> ppmv or 9</w:t>
            </w:r>
            <w:r w:rsidRPr="007009EE">
              <w:rPr>
                <w:sz w:val="22"/>
                <w:szCs w:val="22"/>
              </w:rPr>
              <w:t>6</w:t>
            </w:r>
            <w:r w:rsidR="00FD6FB5" w:rsidRPr="007009EE">
              <w:rPr>
                <w:sz w:val="22"/>
                <w:szCs w:val="22"/>
              </w:rPr>
              <w:t>% reduction</w:t>
            </w:r>
          </w:p>
        </w:tc>
        <w:tc>
          <w:tcPr>
            <w:tcW w:w="2058" w:type="dxa"/>
            <w:tcBorders>
              <w:top w:val="double" w:sz="4" w:space="0" w:color="auto"/>
              <w:bottom w:val="double" w:sz="4" w:space="0" w:color="auto"/>
            </w:tcBorders>
          </w:tcPr>
          <w:p w:rsidR="00FD6FB5" w:rsidRPr="007009EE" w:rsidRDefault="00FD6FB5">
            <w:pPr>
              <w:tabs>
                <w:tab w:val="left" w:pos="-720"/>
                <w:tab w:val="left" w:pos="0"/>
              </w:tabs>
              <w:suppressAutoHyphens/>
              <w:jc w:val="center"/>
              <w:rPr>
                <w:sz w:val="22"/>
                <w:szCs w:val="22"/>
              </w:rPr>
            </w:pPr>
            <w:r w:rsidRPr="007009EE">
              <w:rPr>
                <w:sz w:val="22"/>
                <w:szCs w:val="22"/>
              </w:rPr>
              <w:t>2000 ppmv</w:t>
            </w:r>
          </w:p>
        </w:tc>
        <w:tc>
          <w:tcPr>
            <w:tcW w:w="2058" w:type="dxa"/>
            <w:tcBorders>
              <w:top w:val="double" w:sz="4" w:space="0" w:color="auto"/>
              <w:bottom w:val="double" w:sz="4" w:space="0" w:color="auto"/>
              <w:right w:val="double" w:sz="4" w:space="0" w:color="auto"/>
            </w:tcBorders>
          </w:tcPr>
          <w:p w:rsidR="00FD6FB5" w:rsidRPr="007009EE" w:rsidRDefault="00FD6FB5">
            <w:pPr>
              <w:tabs>
                <w:tab w:val="left" w:pos="-720"/>
                <w:tab w:val="left" w:pos="0"/>
              </w:tabs>
              <w:suppressAutoHyphens/>
              <w:jc w:val="center"/>
              <w:rPr>
                <w:sz w:val="22"/>
                <w:szCs w:val="22"/>
              </w:rPr>
            </w:pPr>
            <w:r w:rsidRPr="007009EE">
              <w:rPr>
                <w:sz w:val="22"/>
                <w:szCs w:val="22"/>
              </w:rPr>
              <w:t>750 ppmv</w:t>
            </w:r>
          </w:p>
        </w:tc>
      </w:tr>
      <w:tr w:rsidR="00FD6FB5">
        <w:tc>
          <w:tcPr>
            <w:tcW w:w="2106" w:type="dxa"/>
            <w:tcBorders>
              <w:top w:val="double" w:sz="4" w:space="0" w:color="auto"/>
              <w:left w:val="double" w:sz="4" w:space="0" w:color="auto"/>
              <w:bottom w:val="double" w:sz="4" w:space="0" w:color="auto"/>
            </w:tcBorders>
          </w:tcPr>
          <w:p w:rsidR="00FD6FB5" w:rsidRPr="007009EE" w:rsidRDefault="00FD6FB5">
            <w:pPr>
              <w:tabs>
                <w:tab w:val="left" w:pos="-720"/>
                <w:tab w:val="left" w:pos="0"/>
              </w:tabs>
              <w:suppressAutoHyphens/>
              <w:jc w:val="center"/>
              <w:rPr>
                <w:sz w:val="22"/>
                <w:szCs w:val="22"/>
              </w:rPr>
            </w:pPr>
            <w:r w:rsidRPr="007009EE">
              <w:rPr>
                <w:sz w:val="22"/>
                <w:szCs w:val="22"/>
              </w:rPr>
              <w:t>C-xxxx-xx</w:t>
            </w:r>
          </w:p>
        </w:tc>
        <w:tc>
          <w:tcPr>
            <w:tcW w:w="2058" w:type="dxa"/>
            <w:tcBorders>
              <w:top w:val="double" w:sz="4" w:space="0" w:color="auto"/>
              <w:bottom w:val="double" w:sz="4" w:space="0" w:color="auto"/>
            </w:tcBorders>
          </w:tcPr>
          <w:p w:rsidR="00FD6FB5" w:rsidRPr="007009EE" w:rsidRDefault="00FD6FB5">
            <w:pPr>
              <w:tabs>
                <w:tab w:val="left" w:pos="-720"/>
                <w:tab w:val="left" w:pos="0"/>
              </w:tabs>
              <w:suppressAutoHyphens/>
              <w:jc w:val="center"/>
              <w:rPr>
                <w:sz w:val="22"/>
                <w:szCs w:val="22"/>
              </w:rPr>
            </w:pPr>
            <w:r w:rsidRPr="007009EE">
              <w:rPr>
                <w:sz w:val="22"/>
                <w:szCs w:val="22"/>
              </w:rPr>
              <w:t>xx.x</w:t>
            </w:r>
          </w:p>
        </w:tc>
        <w:tc>
          <w:tcPr>
            <w:tcW w:w="2058" w:type="dxa"/>
            <w:tcBorders>
              <w:top w:val="double" w:sz="4" w:space="0" w:color="auto"/>
              <w:bottom w:val="double" w:sz="4" w:space="0" w:color="auto"/>
            </w:tcBorders>
          </w:tcPr>
          <w:p w:rsidR="00FD6FB5" w:rsidRPr="007009EE" w:rsidRDefault="00FD6FB5">
            <w:pPr>
              <w:tabs>
                <w:tab w:val="left" w:pos="-720"/>
                <w:tab w:val="left" w:pos="0"/>
              </w:tabs>
              <w:suppressAutoHyphens/>
              <w:jc w:val="center"/>
              <w:rPr>
                <w:sz w:val="22"/>
                <w:szCs w:val="22"/>
              </w:rPr>
            </w:pPr>
            <w:r w:rsidRPr="007009EE">
              <w:rPr>
                <w:sz w:val="22"/>
                <w:szCs w:val="22"/>
              </w:rPr>
              <w:t>xx.x</w:t>
            </w:r>
          </w:p>
        </w:tc>
        <w:tc>
          <w:tcPr>
            <w:tcW w:w="2058" w:type="dxa"/>
            <w:tcBorders>
              <w:top w:val="double" w:sz="4" w:space="0" w:color="auto"/>
              <w:bottom w:val="double" w:sz="4" w:space="0" w:color="auto"/>
              <w:right w:val="double" w:sz="4" w:space="0" w:color="auto"/>
            </w:tcBorders>
          </w:tcPr>
          <w:p w:rsidR="00FD6FB5" w:rsidRPr="007009EE" w:rsidRDefault="00FD6FB5">
            <w:pPr>
              <w:tabs>
                <w:tab w:val="left" w:pos="-720"/>
                <w:tab w:val="left" w:pos="0"/>
              </w:tabs>
              <w:suppressAutoHyphens/>
              <w:jc w:val="center"/>
              <w:rPr>
                <w:sz w:val="22"/>
                <w:szCs w:val="22"/>
              </w:rPr>
            </w:pPr>
            <w:r w:rsidRPr="007009EE">
              <w:rPr>
                <w:sz w:val="22"/>
                <w:szCs w:val="22"/>
              </w:rPr>
              <w:t>xx.x</w:t>
            </w:r>
          </w:p>
        </w:tc>
      </w:tr>
    </w:tbl>
    <w:p w:rsidR="00FD6FB5" w:rsidRDefault="00FD6FB5">
      <w:pPr>
        <w:tabs>
          <w:tab w:val="left" w:pos="-720"/>
          <w:tab w:val="left" w:pos="0"/>
        </w:tabs>
        <w:suppressAutoHyphens/>
        <w:ind w:left="720"/>
        <w:jc w:val="both"/>
      </w:pPr>
    </w:p>
    <w:p w:rsidR="002878C5" w:rsidRDefault="00F63A41" w:rsidP="005A10B3">
      <w:pPr>
        <w:tabs>
          <w:tab w:val="left" w:pos="-720"/>
          <w:tab w:val="left" w:pos="0"/>
        </w:tabs>
        <w:suppressAutoHyphens/>
        <w:ind w:left="720"/>
        <w:jc w:val="both"/>
      </w:pPr>
      <w:r w:rsidRPr="00F63A41">
        <w:t>Pursuant to Section 5.2</w:t>
      </w:r>
      <w:r>
        <w:t xml:space="preserve">.2, </w:t>
      </w:r>
      <w:r w:rsidR="00BA5A42">
        <w:t>o</w:t>
      </w:r>
      <w:r w:rsidR="00BA5A42" w:rsidRPr="00BA5A42">
        <w:t>n and after the compliance schedule specified in Section 7.5, the</w:t>
      </w:r>
      <w:r w:rsidR="00BA5A42">
        <w:t xml:space="preserve"> </w:t>
      </w:r>
      <w:r w:rsidR="00BA5A42" w:rsidRPr="00BA5A42">
        <w:t>operator of a spark-ignited engine &gt; 50 bhp that is used in non-AO shall</w:t>
      </w:r>
      <w:r w:rsidR="00BA5A42">
        <w:t xml:space="preserve"> </w:t>
      </w:r>
      <w:r w:rsidR="00BA5A42" w:rsidRPr="00BA5A42">
        <w:t xml:space="preserve">comply with all the applicable requirements of the rule and </w:t>
      </w:r>
      <w:r w:rsidR="005A10B3">
        <w:t xml:space="preserve">shall comply with the applicable </w:t>
      </w:r>
      <w:r w:rsidR="005A10B3" w:rsidRPr="005A10B3">
        <w:t>NOx, CO, and VOC emission limits pursuant to Table</w:t>
      </w:r>
      <w:r w:rsidR="005A10B3">
        <w:t xml:space="preserve"> </w:t>
      </w:r>
      <w:r w:rsidR="005A10B3" w:rsidRPr="005A10B3">
        <w:t>2</w:t>
      </w:r>
      <w:r w:rsidR="005A10B3">
        <w:t xml:space="preserve">; comply with the </w:t>
      </w:r>
      <w:r w:rsidR="005A10B3" w:rsidRPr="005A10B3">
        <w:t>SOx control requirements of Section 5.7, pursuant to</w:t>
      </w:r>
      <w:r w:rsidR="005A10B3">
        <w:t xml:space="preserve"> </w:t>
      </w:r>
      <w:r w:rsidR="005A10B3" w:rsidRPr="005A10B3">
        <w:t>the deadlines specified in Section 7.5; and</w:t>
      </w:r>
      <w:r w:rsidR="005A10B3">
        <w:t xml:space="preserve"> comply with the </w:t>
      </w:r>
      <w:r w:rsidR="00FA1A74">
        <w:t>m</w:t>
      </w:r>
      <w:r w:rsidR="005A10B3" w:rsidRPr="005A10B3">
        <w:t>onitoring requirements of Section 5.10, pursuant to</w:t>
      </w:r>
      <w:r w:rsidR="00FA1A74">
        <w:t xml:space="preserve"> </w:t>
      </w:r>
      <w:r w:rsidR="005A10B3" w:rsidRPr="005A10B3">
        <w:t>the dea</w:t>
      </w:r>
      <w:r w:rsidR="00FA1A74">
        <w:t>dlines specified in Section 7.5.</w:t>
      </w:r>
    </w:p>
    <w:p w:rsidR="00FA1A74" w:rsidRDefault="00FA1A74" w:rsidP="005A10B3">
      <w:pPr>
        <w:tabs>
          <w:tab w:val="left" w:pos="-720"/>
          <w:tab w:val="left" w:pos="0"/>
        </w:tabs>
        <w:suppressAutoHyphens/>
        <w:ind w:left="720"/>
        <w:jc w:val="both"/>
      </w:pPr>
    </w:p>
    <w:p w:rsidR="00FA1A74" w:rsidRDefault="00FA1A74" w:rsidP="00FA1A74">
      <w:pPr>
        <w:tabs>
          <w:tab w:val="left" w:pos="-720"/>
          <w:tab w:val="left" w:pos="0"/>
        </w:tabs>
        <w:suppressAutoHyphens/>
        <w:ind w:left="720"/>
        <w:jc w:val="both"/>
      </w:pPr>
      <w:r w:rsidRPr="00FA1A74">
        <w:t>In lieu of complying with the NOx emission limit requirement of</w:t>
      </w:r>
      <w:r>
        <w:t xml:space="preserve"> </w:t>
      </w:r>
      <w:r w:rsidRPr="00FA1A74">
        <w:t>Section 5.2.2.1.1, an operator may pay an annual fee to the District,</w:t>
      </w:r>
      <w:r>
        <w:t xml:space="preserve"> </w:t>
      </w:r>
      <w:r w:rsidRPr="00FA1A74">
        <w:t>as specified in Section 5.6, pursuant to Section 7.6</w:t>
      </w:r>
      <w:r>
        <w:t xml:space="preserve"> of the rule</w:t>
      </w:r>
      <w:r w:rsidRPr="00FA1A74">
        <w:t>.</w:t>
      </w:r>
    </w:p>
    <w:p w:rsidR="00FA1A74" w:rsidRDefault="00FA1A74" w:rsidP="00FA1A74">
      <w:pPr>
        <w:tabs>
          <w:tab w:val="left" w:pos="-720"/>
          <w:tab w:val="left" w:pos="0"/>
        </w:tabs>
        <w:suppressAutoHyphens/>
        <w:ind w:left="720"/>
        <w:jc w:val="bot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6"/>
        <w:gridCol w:w="2058"/>
        <w:gridCol w:w="2058"/>
        <w:gridCol w:w="2058"/>
      </w:tblGrid>
      <w:tr w:rsidR="00FA1A74" w:rsidTr="00C34342">
        <w:trPr>
          <w:cantSplit/>
        </w:trPr>
        <w:tc>
          <w:tcPr>
            <w:tcW w:w="8280" w:type="dxa"/>
            <w:gridSpan w:val="4"/>
            <w:tcBorders>
              <w:top w:val="double" w:sz="4" w:space="0" w:color="auto"/>
              <w:left w:val="double" w:sz="4" w:space="0" w:color="auto"/>
              <w:bottom w:val="double" w:sz="4" w:space="0" w:color="auto"/>
              <w:right w:val="double" w:sz="4" w:space="0" w:color="auto"/>
            </w:tcBorders>
            <w:shd w:val="clear" w:color="auto" w:fill="auto"/>
          </w:tcPr>
          <w:p w:rsidR="00FA1A74" w:rsidRPr="007009EE" w:rsidRDefault="00FA1A74" w:rsidP="007C7D0F">
            <w:pPr>
              <w:tabs>
                <w:tab w:val="left" w:pos="-720"/>
                <w:tab w:val="left" w:pos="0"/>
              </w:tabs>
              <w:suppressAutoHyphens/>
              <w:jc w:val="center"/>
              <w:rPr>
                <w:b/>
                <w:bCs/>
                <w:sz w:val="22"/>
                <w:szCs w:val="22"/>
              </w:rPr>
            </w:pPr>
            <w:r w:rsidRPr="007009EE">
              <w:rPr>
                <w:b/>
                <w:bCs/>
                <w:sz w:val="22"/>
                <w:szCs w:val="22"/>
              </w:rPr>
              <w:t>Table 2 Engine Emission Levels @15% O</w:t>
            </w:r>
            <w:r w:rsidRPr="007009EE">
              <w:rPr>
                <w:b/>
                <w:bCs/>
                <w:sz w:val="22"/>
                <w:szCs w:val="22"/>
                <w:vertAlign w:val="subscript"/>
              </w:rPr>
              <w:t>2</w:t>
            </w:r>
            <w:r w:rsidRPr="007009EE">
              <w:rPr>
                <w:b/>
                <w:bCs/>
                <w:sz w:val="22"/>
                <w:szCs w:val="22"/>
              </w:rPr>
              <w:t xml:space="preserve"> </w:t>
            </w:r>
          </w:p>
        </w:tc>
      </w:tr>
      <w:tr w:rsidR="00FA1A74" w:rsidTr="00575356">
        <w:tc>
          <w:tcPr>
            <w:tcW w:w="2106" w:type="dxa"/>
            <w:tcBorders>
              <w:top w:val="double" w:sz="4" w:space="0" w:color="auto"/>
              <w:left w:val="double" w:sz="4" w:space="0" w:color="auto"/>
              <w:bottom w:val="doub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Engine Type (Rich-Burn)</w:t>
            </w:r>
          </w:p>
        </w:tc>
        <w:tc>
          <w:tcPr>
            <w:tcW w:w="2058" w:type="dxa"/>
            <w:tcBorders>
              <w:top w:val="double" w:sz="4" w:space="0" w:color="auto"/>
              <w:bottom w:val="doub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NOx</w:t>
            </w:r>
          </w:p>
        </w:tc>
        <w:tc>
          <w:tcPr>
            <w:tcW w:w="2058" w:type="dxa"/>
            <w:tcBorders>
              <w:top w:val="double" w:sz="4" w:space="0" w:color="auto"/>
              <w:bottom w:val="doub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CO</w:t>
            </w:r>
          </w:p>
        </w:tc>
        <w:tc>
          <w:tcPr>
            <w:tcW w:w="2058" w:type="dxa"/>
            <w:tcBorders>
              <w:top w:val="double" w:sz="4" w:space="0" w:color="auto"/>
              <w:bottom w:val="double" w:sz="4" w:space="0" w:color="auto"/>
              <w:right w:val="doub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VOC</w:t>
            </w:r>
          </w:p>
        </w:tc>
      </w:tr>
      <w:tr w:rsidR="00FA1A74" w:rsidTr="00575356">
        <w:tc>
          <w:tcPr>
            <w:tcW w:w="2106" w:type="dxa"/>
            <w:tcBorders>
              <w:top w:val="double" w:sz="4" w:space="0" w:color="auto"/>
              <w:left w:val="double" w:sz="4" w:space="0" w:color="auto"/>
              <w:bottom w:val="double" w:sz="4" w:space="0" w:color="auto"/>
              <w:right w:val="sing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Category 1.c (Limited Use)</w:t>
            </w:r>
          </w:p>
        </w:tc>
        <w:tc>
          <w:tcPr>
            <w:tcW w:w="2058" w:type="dxa"/>
            <w:tcBorders>
              <w:top w:val="double" w:sz="4" w:space="0" w:color="auto"/>
              <w:left w:val="single" w:sz="4" w:space="0" w:color="auto"/>
              <w:bottom w:val="double" w:sz="4" w:space="0" w:color="auto"/>
              <w:right w:val="sing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25 ppmv</w:t>
            </w:r>
          </w:p>
        </w:tc>
        <w:tc>
          <w:tcPr>
            <w:tcW w:w="2058" w:type="dxa"/>
            <w:tcBorders>
              <w:top w:val="double" w:sz="4" w:space="0" w:color="auto"/>
              <w:left w:val="single" w:sz="4" w:space="0" w:color="auto"/>
              <w:bottom w:val="double" w:sz="4" w:space="0" w:color="auto"/>
              <w:right w:val="sing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2000 ppmv</w:t>
            </w:r>
          </w:p>
        </w:tc>
        <w:tc>
          <w:tcPr>
            <w:tcW w:w="2058" w:type="dxa"/>
            <w:tcBorders>
              <w:top w:val="double" w:sz="4" w:space="0" w:color="auto"/>
              <w:left w:val="single" w:sz="4" w:space="0" w:color="auto"/>
              <w:bottom w:val="double" w:sz="4" w:space="0" w:color="auto"/>
              <w:right w:val="doub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250 ppmv</w:t>
            </w:r>
          </w:p>
        </w:tc>
      </w:tr>
      <w:tr w:rsidR="00FA1A74" w:rsidTr="00575356">
        <w:tc>
          <w:tcPr>
            <w:tcW w:w="2106" w:type="dxa"/>
            <w:tcBorders>
              <w:top w:val="double" w:sz="4" w:space="0" w:color="auto"/>
              <w:left w:val="double" w:sz="4" w:space="0" w:color="auto"/>
              <w:bottom w:val="double" w:sz="4" w:space="0" w:color="auto"/>
            </w:tcBorders>
            <w:shd w:val="clear" w:color="auto" w:fill="auto"/>
          </w:tcPr>
          <w:p w:rsidR="00FA1A74" w:rsidRPr="007009EE" w:rsidRDefault="00FA1A74" w:rsidP="00FA1A74">
            <w:pPr>
              <w:tabs>
                <w:tab w:val="left" w:pos="-720"/>
                <w:tab w:val="left" w:pos="0"/>
              </w:tabs>
              <w:suppressAutoHyphens/>
              <w:jc w:val="center"/>
              <w:rPr>
                <w:sz w:val="22"/>
                <w:szCs w:val="22"/>
              </w:rPr>
            </w:pPr>
            <w:r w:rsidRPr="007009EE">
              <w:rPr>
                <w:sz w:val="22"/>
                <w:szCs w:val="22"/>
              </w:rPr>
              <w:t>Category 1.d</w:t>
            </w:r>
          </w:p>
        </w:tc>
        <w:tc>
          <w:tcPr>
            <w:tcW w:w="2058" w:type="dxa"/>
            <w:tcBorders>
              <w:top w:val="double" w:sz="4" w:space="0" w:color="auto"/>
              <w:bottom w:val="double" w:sz="4" w:space="0" w:color="auto"/>
            </w:tcBorders>
            <w:shd w:val="clear" w:color="auto" w:fill="auto"/>
          </w:tcPr>
          <w:p w:rsidR="00FA1A74" w:rsidRPr="007009EE" w:rsidRDefault="00FA1A74" w:rsidP="00FA1A74">
            <w:pPr>
              <w:tabs>
                <w:tab w:val="left" w:pos="-720"/>
                <w:tab w:val="left" w:pos="0"/>
              </w:tabs>
              <w:suppressAutoHyphens/>
              <w:jc w:val="center"/>
              <w:rPr>
                <w:sz w:val="22"/>
                <w:szCs w:val="22"/>
              </w:rPr>
            </w:pPr>
            <w:r w:rsidRPr="007009EE">
              <w:rPr>
                <w:sz w:val="22"/>
                <w:szCs w:val="22"/>
              </w:rPr>
              <w:t>11 ppmv</w:t>
            </w:r>
          </w:p>
        </w:tc>
        <w:tc>
          <w:tcPr>
            <w:tcW w:w="2058" w:type="dxa"/>
            <w:tcBorders>
              <w:top w:val="double" w:sz="4" w:space="0" w:color="auto"/>
              <w:bottom w:val="doub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2000 ppmv</w:t>
            </w:r>
          </w:p>
        </w:tc>
        <w:tc>
          <w:tcPr>
            <w:tcW w:w="2058" w:type="dxa"/>
            <w:tcBorders>
              <w:top w:val="double" w:sz="4" w:space="0" w:color="auto"/>
              <w:bottom w:val="double" w:sz="4" w:space="0" w:color="auto"/>
              <w:right w:val="double" w:sz="4" w:space="0" w:color="auto"/>
            </w:tcBorders>
            <w:shd w:val="clear" w:color="auto" w:fill="auto"/>
          </w:tcPr>
          <w:p w:rsidR="00FA1A74" w:rsidRPr="007009EE" w:rsidRDefault="00FA1A74" w:rsidP="007C7D0F">
            <w:pPr>
              <w:tabs>
                <w:tab w:val="left" w:pos="-720"/>
                <w:tab w:val="left" w:pos="0"/>
              </w:tabs>
              <w:suppressAutoHyphens/>
              <w:jc w:val="center"/>
              <w:rPr>
                <w:sz w:val="22"/>
                <w:szCs w:val="22"/>
              </w:rPr>
            </w:pPr>
            <w:r w:rsidRPr="007009EE">
              <w:rPr>
                <w:sz w:val="22"/>
                <w:szCs w:val="22"/>
              </w:rPr>
              <w:t>250 ppmv</w:t>
            </w:r>
          </w:p>
        </w:tc>
      </w:tr>
      <w:tr w:rsidR="00FA1A74" w:rsidTr="007C7D0F">
        <w:tc>
          <w:tcPr>
            <w:tcW w:w="2106" w:type="dxa"/>
            <w:tcBorders>
              <w:top w:val="double" w:sz="4" w:space="0" w:color="auto"/>
              <w:left w:val="double" w:sz="4" w:space="0" w:color="auto"/>
              <w:bottom w:val="double" w:sz="4" w:space="0" w:color="auto"/>
            </w:tcBorders>
          </w:tcPr>
          <w:p w:rsidR="00FA1A74" w:rsidRPr="007009EE" w:rsidRDefault="00FA1A74" w:rsidP="007C7D0F">
            <w:pPr>
              <w:tabs>
                <w:tab w:val="left" w:pos="-720"/>
                <w:tab w:val="left" w:pos="0"/>
              </w:tabs>
              <w:suppressAutoHyphens/>
              <w:jc w:val="center"/>
              <w:rPr>
                <w:sz w:val="22"/>
                <w:szCs w:val="22"/>
              </w:rPr>
            </w:pPr>
            <w:r w:rsidRPr="007009EE">
              <w:rPr>
                <w:sz w:val="22"/>
                <w:szCs w:val="22"/>
              </w:rPr>
              <w:t>C-xxxx-xx</w:t>
            </w:r>
          </w:p>
        </w:tc>
        <w:tc>
          <w:tcPr>
            <w:tcW w:w="2058" w:type="dxa"/>
            <w:tcBorders>
              <w:top w:val="double" w:sz="4" w:space="0" w:color="auto"/>
              <w:bottom w:val="double" w:sz="4" w:space="0" w:color="auto"/>
            </w:tcBorders>
          </w:tcPr>
          <w:p w:rsidR="00FA1A74" w:rsidRPr="007009EE" w:rsidRDefault="00FA1A74" w:rsidP="007C7D0F">
            <w:pPr>
              <w:tabs>
                <w:tab w:val="left" w:pos="-720"/>
                <w:tab w:val="left" w:pos="0"/>
              </w:tabs>
              <w:suppressAutoHyphens/>
              <w:jc w:val="center"/>
              <w:rPr>
                <w:sz w:val="22"/>
                <w:szCs w:val="22"/>
              </w:rPr>
            </w:pPr>
            <w:r w:rsidRPr="007009EE">
              <w:rPr>
                <w:sz w:val="22"/>
                <w:szCs w:val="22"/>
              </w:rPr>
              <w:t>xx.x</w:t>
            </w:r>
          </w:p>
        </w:tc>
        <w:tc>
          <w:tcPr>
            <w:tcW w:w="2058" w:type="dxa"/>
            <w:tcBorders>
              <w:top w:val="double" w:sz="4" w:space="0" w:color="auto"/>
              <w:bottom w:val="double" w:sz="4" w:space="0" w:color="auto"/>
            </w:tcBorders>
          </w:tcPr>
          <w:p w:rsidR="00FA1A74" w:rsidRPr="007009EE" w:rsidRDefault="00FA1A74" w:rsidP="007C7D0F">
            <w:pPr>
              <w:tabs>
                <w:tab w:val="left" w:pos="-720"/>
                <w:tab w:val="left" w:pos="0"/>
              </w:tabs>
              <w:suppressAutoHyphens/>
              <w:jc w:val="center"/>
              <w:rPr>
                <w:sz w:val="22"/>
                <w:szCs w:val="22"/>
              </w:rPr>
            </w:pPr>
            <w:r w:rsidRPr="007009EE">
              <w:rPr>
                <w:sz w:val="22"/>
                <w:szCs w:val="22"/>
              </w:rPr>
              <w:t>xx.x</w:t>
            </w:r>
          </w:p>
        </w:tc>
        <w:tc>
          <w:tcPr>
            <w:tcW w:w="2058" w:type="dxa"/>
            <w:tcBorders>
              <w:top w:val="double" w:sz="4" w:space="0" w:color="auto"/>
              <w:bottom w:val="double" w:sz="4" w:space="0" w:color="auto"/>
              <w:right w:val="double" w:sz="4" w:space="0" w:color="auto"/>
            </w:tcBorders>
          </w:tcPr>
          <w:p w:rsidR="00FA1A74" w:rsidRPr="007009EE" w:rsidRDefault="00FA1A74" w:rsidP="007C7D0F">
            <w:pPr>
              <w:tabs>
                <w:tab w:val="left" w:pos="-720"/>
                <w:tab w:val="left" w:pos="0"/>
              </w:tabs>
              <w:suppressAutoHyphens/>
              <w:jc w:val="center"/>
              <w:rPr>
                <w:sz w:val="22"/>
                <w:szCs w:val="22"/>
              </w:rPr>
            </w:pPr>
            <w:r w:rsidRPr="007009EE">
              <w:rPr>
                <w:sz w:val="22"/>
                <w:szCs w:val="22"/>
              </w:rPr>
              <w:t>xx.x</w:t>
            </w:r>
          </w:p>
        </w:tc>
      </w:tr>
    </w:tbl>
    <w:p w:rsidR="00FA1A74" w:rsidRDefault="00FA1A74" w:rsidP="00FA1A74">
      <w:pPr>
        <w:tabs>
          <w:tab w:val="left" w:pos="-720"/>
          <w:tab w:val="left" w:pos="0"/>
        </w:tabs>
        <w:suppressAutoHyphens/>
        <w:ind w:left="720"/>
        <w:jc w:val="both"/>
      </w:pPr>
    </w:p>
    <w:p w:rsidR="00FD6FB5" w:rsidRDefault="00FD6FB5">
      <w:pPr>
        <w:tabs>
          <w:tab w:val="left" w:pos="-720"/>
          <w:tab w:val="left" w:pos="0"/>
        </w:tabs>
        <w:suppressAutoHyphens/>
        <w:ind w:left="720"/>
        <w:jc w:val="both"/>
        <w:rPr>
          <w:i/>
          <w:iCs/>
          <w:color w:val="FF0000"/>
        </w:rPr>
      </w:pPr>
      <w:r>
        <w:rPr>
          <w:i/>
          <w:iCs/>
          <w:color w:val="FF0000"/>
        </w:rPr>
        <w:t xml:space="preserve">Note: Contact the applicant if the engine does not meet the above limits.  Applicant must propose to meet above limits in order for the project to be approved. </w:t>
      </w:r>
    </w:p>
    <w:p w:rsidR="00FD6FB5" w:rsidRDefault="00FD6FB5">
      <w:pPr>
        <w:tabs>
          <w:tab w:val="left" w:pos="-720"/>
          <w:tab w:val="left" w:pos="0"/>
        </w:tabs>
        <w:suppressAutoHyphens/>
        <w:ind w:left="720"/>
        <w:jc w:val="both"/>
      </w:pPr>
    </w:p>
    <w:p w:rsidR="00DC0E65" w:rsidRPr="00DC0E65" w:rsidRDefault="00DC0E65" w:rsidP="00DC0E65">
      <w:pPr>
        <w:tabs>
          <w:tab w:val="left" w:pos="-720"/>
          <w:tab w:val="left" w:pos="0"/>
        </w:tabs>
        <w:suppressAutoHyphens/>
        <w:ind w:left="720"/>
        <w:jc w:val="both"/>
      </w:pPr>
      <w:r w:rsidRPr="00DC0E65">
        <w:t>On and after the compliance schedule specified in Section 7.5, operators of non-AO</w:t>
      </w:r>
    </w:p>
    <w:p w:rsidR="00DC0E65" w:rsidRDefault="00DC0E65" w:rsidP="00DC0E65">
      <w:pPr>
        <w:tabs>
          <w:tab w:val="left" w:pos="-720"/>
          <w:tab w:val="left" w:pos="0"/>
        </w:tabs>
        <w:suppressAutoHyphens/>
        <w:ind w:left="720"/>
        <w:jc w:val="both"/>
      </w:pPr>
      <w:r w:rsidRPr="00DC0E65">
        <w:t>spark-ignited engines and non-AO compression-ignited engines shall comply with</w:t>
      </w:r>
      <w:r>
        <w:t xml:space="preserve"> the sulfur oxides (SOx) control requirements by o</w:t>
      </w:r>
      <w:r w:rsidRPr="00DC0E65">
        <w:t>perat</w:t>
      </w:r>
      <w:r>
        <w:t>ing</w:t>
      </w:r>
      <w:r w:rsidRPr="00DC0E65">
        <w:t xml:space="preserve"> the engine exclusively on PUC-quality natural gas, commercial</w:t>
      </w:r>
      <w:r>
        <w:t xml:space="preserve"> </w:t>
      </w:r>
      <w:r w:rsidRPr="00DC0E65">
        <w:t>propane, butane, or liquefied petroleum gas, or a combination of such gases;</w:t>
      </w:r>
      <w:r>
        <w:t xml:space="preserve"> </w:t>
      </w:r>
      <w:r w:rsidRPr="00DC0E65">
        <w:t>or</w:t>
      </w:r>
    </w:p>
    <w:p w:rsidR="00DC0E65" w:rsidRPr="00DC0E65" w:rsidRDefault="00DC0E65" w:rsidP="00DC0E65">
      <w:pPr>
        <w:tabs>
          <w:tab w:val="left" w:pos="-720"/>
          <w:tab w:val="left" w:pos="0"/>
        </w:tabs>
        <w:suppressAutoHyphens/>
        <w:ind w:left="720"/>
        <w:jc w:val="both"/>
      </w:pPr>
    </w:p>
    <w:p w:rsidR="00DC0E65" w:rsidRPr="00DC0E65" w:rsidRDefault="00DC0E65" w:rsidP="00DC0E65">
      <w:pPr>
        <w:tabs>
          <w:tab w:val="left" w:pos="-720"/>
          <w:tab w:val="left" w:pos="0"/>
        </w:tabs>
        <w:suppressAutoHyphens/>
        <w:ind w:left="720"/>
        <w:jc w:val="both"/>
      </w:pPr>
      <w:r>
        <w:t>L</w:t>
      </w:r>
      <w:r w:rsidRPr="00DC0E65">
        <w:t>imit gaseous fuel sulfur content to no more than five (5) grains of total</w:t>
      </w:r>
      <w:r>
        <w:t xml:space="preserve"> </w:t>
      </w:r>
      <w:r w:rsidRPr="00DC0E65">
        <w:t>sulfur per one hundred (100) standard cubic feet; or</w:t>
      </w:r>
    </w:p>
    <w:p w:rsidR="00DC0E65" w:rsidRDefault="00DC0E65" w:rsidP="00DC0E65">
      <w:pPr>
        <w:tabs>
          <w:tab w:val="left" w:pos="-720"/>
          <w:tab w:val="left" w:pos="0"/>
        </w:tabs>
        <w:suppressAutoHyphens/>
        <w:ind w:left="720"/>
        <w:jc w:val="both"/>
      </w:pPr>
    </w:p>
    <w:p w:rsidR="00DC0E65" w:rsidRDefault="00DC0E65" w:rsidP="00DC0E65">
      <w:pPr>
        <w:tabs>
          <w:tab w:val="left" w:pos="-720"/>
          <w:tab w:val="left" w:pos="0"/>
        </w:tabs>
        <w:suppressAutoHyphens/>
        <w:ind w:left="720"/>
        <w:jc w:val="both"/>
      </w:pPr>
      <w:r w:rsidRPr="00DC0E65">
        <w:t>Use California Reformulated Gasoline for gasoline-fired spark-ignited</w:t>
      </w:r>
      <w:r>
        <w:t xml:space="preserve"> </w:t>
      </w:r>
      <w:r w:rsidRPr="00DC0E65">
        <w:t>engines; or</w:t>
      </w:r>
    </w:p>
    <w:p w:rsidR="00DC0E65" w:rsidRPr="00DC0E65" w:rsidRDefault="00DC0E65" w:rsidP="00DC0E65">
      <w:pPr>
        <w:tabs>
          <w:tab w:val="left" w:pos="-720"/>
          <w:tab w:val="left" w:pos="0"/>
        </w:tabs>
        <w:suppressAutoHyphens/>
        <w:ind w:left="720"/>
        <w:jc w:val="both"/>
      </w:pPr>
    </w:p>
    <w:p w:rsidR="00DC0E65" w:rsidRDefault="00DC0E65" w:rsidP="00DC0E65">
      <w:pPr>
        <w:tabs>
          <w:tab w:val="left" w:pos="-720"/>
          <w:tab w:val="left" w:pos="0"/>
        </w:tabs>
        <w:suppressAutoHyphens/>
        <w:ind w:left="720"/>
        <w:jc w:val="both"/>
      </w:pPr>
      <w:r w:rsidRPr="00DC0E65">
        <w:t>Use California Reformulated Diesel for compression-ignited engines; or</w:t>
      </w:r>
    </w:p>
    <w:p w:rsidR="00DC0E65" w:rsidRPr="00DC0E65" w:rsidRDefault="00DC0E65" w:rsidP="00DC0E65">
      <w:pPr>
        <w:tabs>
          <w:tab w:val="left" w:pos="-720"/>
          <w:tab w:val="left" w:pos="0"/>
        </w:tabs>
        <w:suppressAutoHyphens/>
        <w:ind w:left="720"/>
        <w:jc w:val="both"/>
      </w:pPr>
    </w:p>
    <w:p w:rsidR="00DC0E65" w:rsidRDefault="00DC0E65" w:rsidP="00DC0E65">
      <w:pPr>
        <w:tabs>
          <w:tab w:val="left" w:pos="-720"/>
          <w:tab w:val="left" w:pos="0"/>
        </w:tabs>
        <w:suppressAutoHyphens/>
        <w:ind w:left="720"/>
        <w:jc w:val="both"/>
      </w:pPr>
      <w:r w:rsidRPr="00DC0E65">
        <w:t>Operate the engine on liquid fuel that contains no more than 15 ppm</w:t>
      </w:r>
      <w:r>
        <w:t xml:space="preserve"> </w:t>
      </w:r>
      <w:r w:rsidRPr="00DC0E65">
        <w:t>sulfur, as determined by the test method specified in Section 6.4.6; or</w:t>
      </w:r>
    </w:p>
    <w:p w:rsidR="00DC0E65" w:rsidRPr="00DC0E65" w:rsidRDefault="00DC0E65" w:rsidP="00DC0E65">
      <w:pPr>
        <w:tabs>
          <w:tab w:val="left" w:pos="-720"/>
          <w:tab w:val="left" w:pos="0"/>
        </w:tabs>
        <w:suppressAutoHyphens/>
        <w:ind w:left="720"/>
        <w:jc w:val="both"/>
      </w:pPr>
    </w:p>
    <w:p w:rsidR="00DC0E65" w:rsidRPr="00DC0E65" w:rsidRDefault="00DC0E65" w:rsidP="00DC0E65">
      <w:pPr>
        <w:tabs>
          <w:tab w:val="left" w:pos="-720"/>
          <w:tab w:val="left" w:pos="0"/>
        </w:tabs>
        <w:suppressAutoHyphens/>
        <w:ind w:left="720"/>
        <w:jc w:val="both"/>
      </w:pPr>
      <w:r w:rsidRPr="00DC0E65">
        <w:t xml:space="preserve">Install and properly operate an emission control system that reduces </w:t>
      </w:r>
      <w:r w:rsidRPr="00646CA9">
        <w:t>SO</w:t>
      </w:r>
      <w:r w:rsidRPr="00646CA9">
        <w:rPr>
          <w:vertAlign w:val="subscript"/>
        </w:rPr>
        <w:t>2</w:t>
      </w:r>
      <w:r>
        <w:t xml:space="preserve"> </w:t>
      </w:r>
      <w:r w:rsidRPr="00DC0E65">
        <w:t>emissions by at least 95% by weight as determined by the test method</w:t>
      </w:r>
      <w:r>
        <w:t xml:space="preserve"> </w:t>
      </w:r>
      <w:r w:rsidRPr="00DC0E65">
        <w:t>specified in Section 6.4.6.</w:t>
      </w:r>
    </w:p>
    <w:p w:rsidR="00FD6FB5" w:rsidRDefault="00FD6FB5" w:rsidP="00DC0E65">
      <w:pPr>
        <w:tabs>
          <w:tab w:val="left" w:pos="-720"/>
          <w:tab w:val="left" w:pos="0"/>
        </w:tabs>
        <w:suppressAutoHyphens/>
        <w:ind w:left="720"/>
        <w:jc w:val="both"/>
      </w:pPr>
    </w:p>
    <w:p w:rsidR="00FD6FB5" w:rsidRDefault="00FD6FB5">
      <w:pPr>
        <w:tabs>
          <w:tab w:val="left" w:pos="-720"/>
          <w:tab w:val="left" w:pos="0"/>
        </w:tabs>
        <w:suppressAutoHyphens/>
        <w:ind w:left="720"/>
        <w:jc w:val="both"/>
      </w:pPr>
    </w:p>
    <w:p w:rsidR="005558C3" w:rsidRDefault="008439B5">
      <w:pPr>
        <w:tabs>
          <w:tab w:val="left" w:pos="-720"/>
          <w:tab w:val="left" w:pos="0"/>
        </w:tabs>
        <w:suppressAutoHyphens/>
        <w:ind w:left="720"/>
        <w:jc w:val="both"/>
      </w:pPr>
      <w:r>
        <w:t xml:space="preserve">The engine in this project is operated on commercially purchased propane/LPG until such point that it can combust the gasoline vapors drawn from the underground spill being remediated.  Commercial propane/LPG will continue to be available as auxiliary fuel to maintain operation of the engine when gasoline vapor concentration </w:t>
      </w:r>
      <w:r w:rsidR="005558C3">
        <w:t>is unable to maintain stable operation without supplemental fuel.</w:t>
      </w:r>
    </w:p>
    <w:p w:rsidR="008439B5" w:rsidRDefault="008439B5">
      <w:pPr>
        <w:tabs>
          <w:tab w:val="left" w:pos="-720"/>
          <w:tab w:val="left" w:pos="0"/>
        </w:tabs>
        <w:suppressAutoHyphens/>
        <w:ind w:left="720"/>
        <w:jc w:val="both"/>
      </w:pPr>
      <w:r>
        <w:t xml:space="preserve"> </w:t>
      </w:r>
    </w:p>
    <w:p w:rsidR="00FD6FB5" w:rsidRDefault="00FD6FB5">
      <w:pPr>
        <w:tabs>
          <w:tab w:val="left" w:pos="-720"/>
          <w:tab w:val="left" w:pos="0"/>
          <w:tab w:val="left" w:pos="720"/>
        </w:tabs>
        <w:suppressAutoHyphens/>
        <w:ind w:left="720"/>
        <w:jc w:val="both"/>
        <w:rPr>
          <w:spacing w:val="-3"/>
        </w:rPr>
      </w:pPr>
      <w:r>
        <w:rPr>
          <w:spacing w:val="-3"/>
        </w:rPr>
        <w:t xml:space="preserve">Pursuant to Section 6.3, source testing of the NOx, CO and VOC emission concentrations shall be conducted within 60 days of initial startup and at least once every 24 months thereafter.  </w:t>
      </w:r>
    </w:p>
    <w:p w:rsidR="00FD6FB5" w:rsidRDefault="00FD6FB5">
      <w:pPr>
        <w:tabs>
          <w:tab w:val="left" w:pos="-720"/>
          <w:tab w:val="left" w:pos="0"/>
          <w:tab w:val="left" w:pos="720"/>
        </w:tabs>
        <w:suppressAutoHyphens/>
        <w:ind w:left="720"/>
        <w:jc w:val="both"/>
        <w:rPr>
          <w:spacing w:val="-3"/>
        </w:rPr>
      </w:pPr>
    </w:p>
    <w:p w:rsidR="00FD6FB5" w:rsidRDefault="00FD6FB5">
      <w:pPr>
        <w:tabs>
          <w:tab w:val="left" w:pos="-720"/>
          <w:tab w:val="left" w:pos="0"/>
          <w:tab w:val="left" w:pos="720"/>
        </w:tabs>
        <w:suppressAutoHyphens/>
        <w:ind w:left="720"/>
        <w:jc w:val="both"/>
        <w:rPr>
          <w:spacing w:val="-3"/>
        </w:rPr>
      </w:pPr>
      <w:r>
        <w:rPr>
          <w:color w:val="0000FF"/>
          <w:spacing w:val="-3"/>
        </w:rPr>
        <w:lastRenderedPageBreak/>
        <w:t>Facility name</w:t>
      </w:r>
      <w:r>
        <w:rPr>
          <w:spacing w:val="-3"/>
        </w:rPr>
        <w:t xml:space="preserve"> will be required to maintain an engine operating log that includes source testing results and periodic exhaust sampling monitoring data.</w:t>
      </w:r>
    </w:p>
    <w:p w:rsidR="00FD6FB5" w:rsidRDefault="00FD6FB5">
      <w:pPr>
        <w:tabs>
          <w:tab w:val="left" w:pos="-720"/>
          <w:tab w:val="left" w:pos="0"/>
        </w:tabs>
        <w:suppressAutoHyphens/>
        <w:ind w:left="720"/>
        <w:jc w:val="both"/>
      </w:pPr>
    </w:p>
    <w:p w:rsidR="00FD6FB5" w:rsidRDefault="00FD6FB5">
      <w:pPr>
        <w:tabs>
          <w:tab w:val="left" w:pos="-720"/>
          <w:tab w:val="left" w:pos="0"/>
        </w:tabs>
        <w:suppressAutoHyphens/>
        <w:ind w:left="720"/>
        <w:jc w:val="both"/>
      </w:pPr>
      <w:r>
        <w:t>Therefore, compliance with all of the applicable requirements of this rule is expected.</w:t>
      </w:r>
    </w:p>
    <w:p w:rsidR="00FD6FB5" w:rsidRDefault="00FD6FB5">
      <w:pPr>
        <w:suppressAutoHyphens/>
        <w:ind w:firstLine="720"/>
        <w:jc w:val="both"/>
        <w:rPr>
          <w:b/>
          <w:spacing w:val="-3"/>
        </w:rPr>
      </w:pPr>
    </w:p>
    <w:p w:rsidR="00FD6FB5" w:rsidRDefault="00FD6FB5" w:rsidP="005F4E03">
      <w:pPr>
        <w:pStyle w:val="Footer"/>
        <w:tabs>
          <w:tab w:val="clear" w:pos="4320"/>
          <w:tab w:val="clear" w:pos="8640"/>
        </w:tabs>
        <w:suppressAutoHyphens/>
        <w:ind w:right="-144"/>
        <w:jc w:val="both"/>
        <w:rPr>
          <w:b/>
        </w:rPr>
      </w:pPr>
      <w:r>
        <w:rPr>
          <w:b/>
          <w:bCs/>
        </w:rPr>
        <w:t>District Rule</w:t>
      </w:r>
      <w:r>
        <w:rPr>
          <w:b/>
        </w:rPr>
        <w:t xml:space="preserve"> 4801 - Sulfur compounds</w:t>
      </w:r>
    </w:p>
    <w:p w:rsidR="00FD6FB5" w:rsidRDefault="00FD6FB5" w:rsidP="005F4E03">
      <w:pPr>
        <w:suppressAutoHyphens/>
        <w:ind w:right="-144"/>
        <w:jc w:val="both"/>
        <w:rPr>
          <w:bCs/>
          <w:sz w:val="16"/>
        </w:rPr>
      </w:pPr>
    </w:p>
    <w:p w:rsidR="00FD6FB5" w:rsidRDefault="00FD6FB5" w:rsidP="005F4E03">
      <w:pPr>
        <w:suppressAutoHyphens/>
        <w:ind w:right="-144"/>
        <w:jc w:val="both"/>
      </w:pPr>
      <w:r>
        <w:t>A person shall not discharge into the atmosphere sulfur compounds, which would exist as a liquid or gas at standard conditions, exceeding in concentration at the point of discharge: 0.2 % by volume calculated as SO</w:t>
      </w:r>
      <w:r>
        <w:rPr>
          <w:vertAlign w:val="subscript"/>
        </w:rPr>
        <w:t>2</w:t>
      </w:r>
      <w:r>
        <w:t xml:space="preserve">, on a dry basis averaged over 15 consecutive minutes.  </w:t>
      </w:r>
    </w:p>
    <w:p w:rsidR="00FD6FB5" w:rsidRDefault="00FD6FB5" w:rsidP="005F4E03">
      <w:pPr>
        <w:pStyle w:val="Footer"/>
        <w:tabs>
          <w:tab w:val="clear" w:pos="4320"/>
          <w:tab w:val="clear" w:pos="8640"/>
        </w:tabs>
        <w:suppressAutoHyphens/>
        <w:ind w:right="-144"/>
        <w:jc w:val="both"/>
        <w:rPr>
          <w:sz w:val="16"/>
        </w:rPr>
      </w:pPr>
    </w:p>
    <w:p w:rsidR="00FD6FB5" w:rsidRDefault="00FD6FB5" w:rsidP="005F4E03">
      <w:pPr>
        <w:pStyle w:val="Footer"/>
        <w:tabs>
          <w:tab w:val="clear" w:pos="4320"/>
          <w:tab w:val="clear" w:pos="8640"/>
        </w:tabs>
        <w:suppressAutoHyphens/>
        <w:ind w:right="-144"/>
        <w:jc w:val="both"/>
      </w:pPr>
      <w:r>
        <w:t>Using the ideal gas equation and the emission factors presented in Section VII, the sulfur compound emissions are calculated as follows:</w:t>
      </w:r>
    </w:p>
    <w:p w:rsidR="00FD6FB5" w:rsidRDefault="00FD6FB5" w:rsidP="005F4E03">
      <w:pPr>
        <w:pStyle w:val="Footer"/>
        <w:tabs>
          <w:tab w:val="clear" w:pos="4320"/>
          <w:tab w:val="clear" w:pos="8640"/>
        </w:tabs>
        <w:suppressAutoHyphens/>
        <w:ind w:right="-144"/>
        <w:jc w:val="both"/>
      </w:pPr>
      <w:r>
        <w:tab/>
      </w:r>
    </w:p>
    <w:p w:rsidR="00FD6FB5" w:rsidRDefault="00FD6FB5" w:rsidP="005F4E03">
      <w:pPr>
        <w:pStyle w:val="Footer"/>
        <w:tabs>
          <w:tab w:val="clear" w:pos="4320"/>
          <w:tab w:val="clear" w:pos="8640"/>
        </w:tabs>
        <w:suppressAutoHyphens/>
        <w:ind w:right="-144"/>
        <w:jc w:val="both"/>
      </w:pPr>
      <w:r>
        <w:t>Volume SO</w:t>
      </w:r>
      <w:r>
        <w:rPr>
          <w:vertAlign w:val="subscript"/>
        </w:rPr>
        <w:t>2</w:t>
      </w:r>
      <w:r>
        <w:t xml:space="preserve"> = </w:t>
      </w:r>
      <w:r>
        <w:rPr>
          <w:u w:val="single"/>
        </w:rPr>
        <w:t>n RT</w:t>
      </w:r>
    </w:p>
    <w:p w:rsidR="00FD6FB5" w:rsidRDefault="00FD6FB5" w:rsidP="005F4E03">
      <w:pPr>
        <w:pStyle w:val="Footer"/>
        <w:tabs>
          <w:tab w:val="clear" w:pos="4320"/>
          <w:tab w:val="clear" w:pos="8640"/>
        </w:tabs>
        <w:suppressAutoHyphens/>
        <w:ind w:right="-144"/>
        <w:jc w:val="both"/>
      </w:pPr>
      <w:r>
        <w:t xml:space="preserve">                            P</w:t>
      </w:r>
    </w:p>
    <w:p w:rsidR="00FD6FB5" w:rsidRDefault="00FD6FB5">
      <w:pPr>
        <w:pStyle w:val="Footer"/>
        <w:tabs>
          <w:tab w:val="clear" w:pos="4320"/>
          <w:tab w:val="clear" w:pos="8640"/>
        </w:tabs>
        <w:suppressAutoHyphens/>
        <w:ind w:right="-144"/>
        <w:jc w:val="both"/>
        <w:rPr>
          <w:sz w:val="16"/>
        </w:rPr>
      </w:pPr>
    </w:p>
    <w:p w:rsidR="00FD6FB5" w:rsidRDefault="00FD6FB5">
      <w:pPr>
        <w:pStyle w:val="Footer"/>
        <w:tabs>
          <w:tab w:val="clear" w:pos="4320"/>
          <w:tab w:val="clear" w:pos="8640"/>
        </w:tabs>
        <w:suppressAutoHyphens/>
        <w:ind w:right="-144" w:firstLine="720"/>
        <w:jc w:val="both"/>
      </w:pPr>
      <w:r>
        <w:t>With:</w:t>
      </w:r>
    </w:p>
    <w:p w:rsidR="00FD6FB5" w:rsidRDefault="00FD6FB5">
      <w:pPr>
        <w:pStyle w:val="Footer"/>
        <w:tabs>
          <w:tab w:val="clear" w:pos="4320"/>
          <w:tab w:val="clear" w:pos="8640"/>
        </w:tabs>
        <w:suppressAutoHyphens/>
        <w:ind w:right="-144"/>
        <w:jc w:val="both"/>
        <w:rPr>
          <w:sz w:val="16"/>
        </w:rPr>
      </w:pPr>
    </w:p>
    <w:p w:rsidR="00FD6FB5" w:rsidRDefault="00FD6FB5">
      <w:pPr>
        <w:pStyle w:val="Footer"/>
        <w:tabs>
          <w:tab w:val="clear" w:pos="4320"/>
          <w:tab w:val="clear" w:pos="8640"/>
        </w:tabs>
        <w:suppressAutoHyphens/>
        <w:ind w:right="-144" w:firstLine="720"/>
        <w:jc w:val="both"/>
      </w:pPr>
      <w:r>
        <w:t>N = moles SO</w:t>
      </w:r>
      <w:r>
        <w:rPr>
          <w:vertAlign w:val="subscript"/>
        </w:rPr>
        <w:t>2</w:t>
      </w:r>
    </w:p>
    <w:p w:rsidR="00FD6FB5" w:rsidRDefault="00FD6FB5">
      <w:pPr>
        <w:pStyle w:val="Footer"/>
        <w:tabs>
          <w:tab w:val="clear" w:pos="4320"/>
          <w:tab w:val="clear" w:pos="8640"/>
        </w:tabs>
        <w:suppressAutoHyphens/>
        <w:ind w:right="-144" w:firstLine="720"/>
        <w:jc w:val="both"/>
      </w:pPr>
      <w:r>
        <w:t>T (Standard Temperature) = 60°F = 520°R</w:t>
      </w:r>
    </w:p>
    <w:p w:rsidR="00FD6FB5" w:rsidRDefault="00FD6FB5">
      <w:pPr>
        <w:suppressAutoHyphens/>
        <w:ind w:right="-144" w:firstLine="720"/>
        <w:jc w:val="both"/>
      </w:pPr>
      <w:r>
        <w:t>P (Standard Pressure) = 14.7 psi</w:t>
      </w:r>
    </w:p>
    <w:p w:rsidR="00FD6FB5" w:rsidRDefault="00FD6FB5">
      <w:pPr>
        <w:suppressAutoHyphens/>
        <w:ind w:right="-144" w:firstLine="720"/>
        <w:jc w:val="both"/>
      </w:pPr>
      <w:r>
        <w:t xml:space="preserve">R (Universal Gas Constant) = </w:t>
      </w:r>
      <w:r>
        <w:rPr>
          <w:position w:val="-22"/>
        </w:rPr>
        <w:object w:dxaOrig="1359" w:dyaOrig="620">
          <v:shape id="_x0000_i1026" type="#_x0000_t75" style="width:67.4pt;height:31.1pt" o:ole="" fillcolor="window">
            <v:imagedata r:id="rId12" o:title=""/>
          </v:shape>
          <o:OLEObject Type="Embed" ProgID="Equation.3" ShapeID="_x0000_i1026" DrawAspect="Content" ObjectID="_1456042739" r:id="rId13"/>
        </w:object>
      </w:r>
    </w:p>
    <w:p w:rsidR="00FD6FB5" w:rsidRDefault="00FD6FB5">
      <w:pPr>
        <w:suppressAutoHyphens/>
        <w:ind w:right="-144" w:firstLine="720"/>
        <w:jc w:val="both"/>
      </w:pPr>
    </w:p>
    <w:p w:rsidR="00FD6FB5" w:rsidRDefault="00FD6FB5">
      <w:pPr>
        <w:suppressAutoHyphens/>
        <w:ind w:right="-144" w:firstLine="720"/>
        <w:jc w:val="both"/>
      </w:pPr>
      <w:r>
        <w:t>SOx emission factor in lb/MMBtu = 0.84 lb/MMBtu based on AP-42 Table 3.3-1</w:t>
      </w:r>
    </w:p>
    <w:p w:rsidR="00FD6FB5" w:rsidRDefault="00FD6FB5">
      <w:pPr>
        <w:suppressAutoHyphens/>
        <w:ind w:right="-144" w:firstLine="720"/>
        <w:jc w:val="both"/>
      </w:pPr>
      <w:r>
        <w:t xml:space="preserve">EPA F-Factor for gasoline: 8,850 dscf/MMBtu at 60 </w:t>
      </w:r>
      <w:r>
        <w:rPr>
          <w:vertAlign w:val="superscript"/>
        </w:rPr>
        <w:t>o</w:t>
      </w:r>
      <w:r>
        <w:t>F</w:t>
      </w:r>
    </w:p>
    <w:p w:rsidR="00FD6FB5" w:rsidRDefault="00FD6FB5">
      <w:pPr>
        <w:suppressAutoHyphens/>
        <w:ind w:right="-144"/>
        <w:jc w:val="both"/>
      </w:pPr>
    </w:p>
    <w:p w:rsidR="00FD6FB5" w:rsidRDefault="00FD6FB5">
      <w:pPr>
        <w:suppressAutoHyphens/>
        <w:ind w:right="180" w:firstLine="720"/>
      </w:pPr>
      <w:r>
        <w:rPr>
          <w:position w:val="-30"/>
        </w:rPr>
        <w:object w:dxaOrig="9400" w:dyaOrig="720">
          <v:shape id="_x0000_i1027" type="#_x0000_t75" style="width:470.6pt;height:36.3pt" o:ole="" fillcolor="window">
            <v:imagedata r:id="rId14" o:title=""/>
          </v:shape>
          <o:OLEObject Type="Embed" ProgID="Equation.3" ShapeID="_x0000_i1027" DrawAspect="Content" ObjectID="_1456042740" r:id="rId15"/>
        </w:object>
      </w:r>
    </w:p>
    <w:p w:rsidR="00FD6FB5" w:rsidRDefault="00FD6FB5">
      <w:pPr>
        <w:suppressAutoHyphens/>
        <w:ind w:right="180" w:firstLine="720"/>
      </w:pPr>
      <w:r>
        <w:rPr>
          <w:position w:val="-24"/>
        </w:rPr>
        <w:object w:dxaOrig="3460" w:dyaOrig="620">
          <v:shape id="_x0000_i1028" type="#_x0000_t75" style="width:172.8pt;height:31.1pt" o:ole="" fillcolor="window">
            <v:imagedata r:id="rId16" o:title=""/>
          </v:shape>
          <o:OLEObject Type="Embed" ProgID="Equation.3" ShapeID="_x0000_i1028" DrawAspect="Content" ObjectID="_1456042741" r:id="rId17"/>
        </w:object>
      </w:r>
      <w:r>
        <w:t xml:space="preserve"> &lt; 2,000 ppmv (or 0.2%),</w:t>
      </w:r>
    </w:p>
    <w:p w:rsidR="00FD6FB5" w:rsidRDefault="00FD6FB5">
      <w:pPr>
        <w:suppressAutoHyphens/>
        <w:ind w:firstLine="720"/>
        <w:jc w:val="both"/>
        <w:rPr>
          <w:b/>
          <w:spacing w:val="-3"/>
        </w:rPr>
      </w:pPr>
    </w:p>
    <w:p w:rsidR="00B71C84" w:rsidRDefault="00B71C84" w:rsidP="005F4E03">
      <w:pPr>
        <w:rPr>
          <w:b/>
          <w:bCs/>
        </w:rPr>
      </w:pPr>
      <w:r>
        <w:rPr>
          <w:b/>
          <w:bCs/>
        </w:rPr>
        <w:t>California Health &amp; Safety Code 42301.6</w:t>
      </w:r>
      <w:r>
        <w:rPr>
          <w:b/>
          <w:bCs/>
        </w:rPr>
        <w:tab/>
        <w:t>(School Notice)</w:t>
      </w:r>
    </w:p>
    <w:p w:rsidR="00B71C84" w:rsidRDefault="00B71C84" w:rsidP="005F4E03"/>
    <w:p w:rsidR="00B71C84" w:rsidRDefault="00B71C84" w:rsidP="005F4E03">
      <w:pPr>
        <w:tabs>
          <w:tab w:val="left" w:pos="1530"/>
        </w:tabs>
        <w:autoSpaceDE w:val="0"/>
        <w:autoSpaceDN w:val="0"/>
        <w:adjustRightInd w:val="0"/>
        <w:rPr>
          <w:i/>
          <w:iCs/>
          <w:color w:val="0000FF"/>
        </w:rPr>
      </w:pPr>
      <w:r>
        <w:rPr>
          <w:i/>
          <w:iCs/>
          <w:color w:val="0000FF"/>
          <w:u w:val="single"/>
        </w:rPr>
        <w:t>Example (a)</w:t>
      </w:r>
      <w:r>
        <w:rPr>
          <w:i/>
          <w:iCs/>
          <w:color w:val="0000FF"/>
        </w:rPr>
        <w:t>:</w:t>
      </w:r>
      <w:r>
        <w:rPr>
          <w:i/>
          <w:iCs/>
          <w:color w:val="0000FF"/>
        </w:rPr>
        <w:tab/>
        <w:t>(For a Non-School Notice project - &gt; 1,000 feet.)</w:t>
      </w:r>
    </w:p>
    <w:p w:rsidR="00B71C84" w:rsidRDefault="00B71C84" w:rsidP="005F4E03">
      <w:r>
        <w:t>The District has verified that this site is not located within 1,000 feet of a school.  Therefore, pursuant to California Health and Safety Code 42301.6, a school notice is not required.</w:t>
      </w:r>
    </w:p>
    <w:p w:rsidR="00B71C84" w:rsidRDefault="00B71C84" w:rsidP="005F4E03"/>
    <w:p w:rsidR="00B71C84" w:rsidRDefault="00B71C84" w:rsidP="005F4E03">
      <w:pPr>
        <w:tabs>
          <w:tab w:val="left" w:pos="1530"/>
        </w:tabs>
        <w:autoSpaceDE w:val="0"/>
        <w:autoSpaceDN w:val="0"/>
        <w:adjustRightInd w:val="0"/>
        <w:rPr>
          <w:i/>
          <w:iCs/>
          <w:color w:val="0000FF"/>
        </w:rPr>
      </w:pPr>
      <w:r>
        <w:rPr>
          <w:i/>
          <w:iCs/>
          <w:color w:val="0000FF"/>
          <w:u w:val="single"/>
        </w:rPr>
        <w:t>Example (b)</w:t>
      </w:r>
      <w:r>
        <w:rPr>
          <w:i/>
          <w:iCs/>
          <w:color w:val="0000FF"/>
        </w:rPr>
        <w:t>:</w:t>
      </w:r>
      <w:r>
        <w:rPr>
          <w:i/>
          <w:iCs/>
          <w:color w:val="0000FF"/>
        </w:rPr>
        <w:tab/>
        <w:t>(For a Non-School Notice project – no increase in emissions)</w:t>
      </w:r>
    </w:p>
    <w:p w:rsidR="00B71C84" w:rsidRDefault="00B71C84" w:rsidP="005F4E03">
      <w:r>
        <w:t>The District has verified that this site is located within 1,000 feet of a school.  However, pursuant to California Health and Safety Code 42301.6, since this project will not result in an increase in emissions, a school notice is not required.</w:t>
      </w:r>
    </w:p>
    <w:p w:rsidR="00B71C84" w:rsidRDefault="00B71C84" w:rsidP="005F4E03"/>
    <w:p w:rsidR="00B71C84" w:rsidRDefault="00B71C84" w:rsidP="005F4E03">
      <w:pPr>
        <w:tabs>
          <w:tab w:val="left" w:pos="1530"/>
        </w:tabs>
        <w:autoSpaceDE w:val="0"/>
        <w:autoSpaceDN w:val="0"/>
        <w:adjustRightInd w:val="0"/>
        <w:rPr>
          <w:i/>
          <w:iCs/>
          <w:color w:val="0000FF"/>
        </w:rPr>
      </w:pPr>
      <w:r>
        <w:rPr>
          <w:i/>
          <w:iCs/>
          <w:color w:val="0000FF"/>
          <w:u w:val="single"/>
        </w:rPr>
        <w:t>Example (c)</w:t>
      </w:r>
      <w:r>
        <w:rPr>
          <w:i/>
          <w:iCs/>
          <w:color w:val="0000FF"/>
        </w:rPr>
        <w:t>:</w:t>
      </w:r>
      <w:r>
        <w:rPr>
          <w:i/>
          <w:iCs/>
          <w:color w:val="0000FF"/>
        </w:rPr>
        <w:tab/>
        <w:t>(For a School Notice project.)</w:t>
      </w:r>
    </w:p>
    <w:p w:rsidR="00B71C84" w:rsidRDefault="00B71C84" w:rsidP="005F4E03">
      <w:r>
        <w:lastRenderedPageBreak/>
        <w:t>The District has verified that this site is located within 1,000 feet of the following school:</w:t>
      </w:r>
    </w:p>
    <w:p w:rsidR="00B71C84" w:rsidRDefault="00B71C84" w:rsidP="005F4E03"/>
    <w:p w:rsidR="00B71C84" w:rsidRDefault="00B71C84" w:rsidP="005F4E03">
      <w:pPr>
        <w:rPr>
          <w:color w:val="0000FF"/>
        </w:rPr>
      </w:pPr>
      <w:r>
        <w:t xml:space="preserve">School Name: </w:t>
      </w:r>
      <w:r>
        <w:tab/>
      </w:r>
      <w:r>
        <w:rPr>
          <w:color w:val="0000FF"/>
        </w:rPr>
        <w:t>[Name]</w:t>
      </w:r>
    </w:p>
    <w:p w:rsidR="00B71C84" w:rsidRDefault="00B71C84" w:rsidP="005F4E03">
      <w:pPr>
        <w:rPr>
          <w:color w:val="0000FF"/>
        </w:rPr>
      </w:pPr>
      <w:r>
        <w:t>Address:</w:t>
      </w:r>
      <w:r>
        <w:rPr>
          <w:color w:val="0000FF"/>
        </w:rPr>
        <w:tab/>
      </w:r>
      <w:r>
        <w:rPr>
          <w:color w:val="0000FF"/>
        </w:rPr>
        <w:tab/>
        <w:t>[Address]</w:t>
      </w:r>
    </w:p>
    <w:p w:rsidR="00B71C84" w:rsidRDefault="00B71C84" w:rsidP="005F4E03">
      <w:pPr>
        <w:rPr>
          <w:color w:val="0000FF"/>
        </w:rPr>
      </w:pPr>
    </w:p>
    <w:p w:rsidR="00B71C84" w:rsidRDefault="00B71C84" w:rsidP="005F4E03">
      <w:r>
        <w:t xml:space="preserve">Therefore, pursuant to California Health and Safety Code 42301.6, a school notice is required. </w:t>
      </w:r>
    </w:p>
    <w:p w:rsidR="00B71C84" w:rsidRDefault="00B71C84" w:rsidP="005F4E03">
      <w:r>
        <w:t xml:space="preserve">Prior to the issuance of the ATC for this equipment, notices will be provided to the parents/guardians of all students of the affected school, and will be sent to all residents within 1,000 </w:t>
      </w:r>
      <w:r w:rsidR="00A22732">
        <w:t>ft.</w:t>
      </w:r>
      <w:r>
        <w:t xml:space="preserve"> of the site.  </w:t>
      </w:r>
    </w:p>
    <w:p w:rsidR="00B71C84" w:rsidRDefault="00B71C84" w:rsidP="005F4E03"/>
    <w:p w:rsidR="00B71C84" w:rsidRPr="0083525C" w:rsidRDefault="00B71C84" w:rsidP="005F4E03">
      <w:pPr>
        <w:pStyle w:val="BodyText3"/>
        <w:rPr>
          <w:i/>
          <w:color w:val="FF0000"/>
        </w:rPr>
      </w:pPr>
      <w:r w:rsidRPr="0083525C">
        <w:rPr>
          <w:i/>
          <w:color w:val="FF0000"/>
        </w:rPr>
        <w:t>If there is no school w/in ¼ mile of the emissions increase, include the followi</w:t>
      </w:r>
      <w:r w:rsidR="0083525C" w:rsidRPr="0083525C">
        <w:rPr>
          <w:i/>
          <w:color w:val="FF0000"/>
        </w:rPr>
        <w:t>ng discussion, otherwise delete</w:t>
      </w:r>
      <w:r w:rsidRPr="0083525C">
        <w:rPr>
          <w:i/>
          <w:color w:val="FF0000"/>
        </w:rPr>
        <w:t xml:space="preserve">: </w:t>
      </w:r>
    </w:p>
    <w:p w:rsidR="00B71C84" w:rsidRDefault="00B71C84" w:rsidP="005F4E03">
      <w:r>
        <w:t>The District has verified that there are no additional schools within ¼ mile of the emission source.</w:t>
      </w:r>
    </w:p>
    <w:p w:rsidR="00B71C84" w:rsidRDefault="00B71C84" w:rsidP="005F4E03"/>
    <w:p w:rsidR="00B71C84" w:rsidRPr="0083525C" w:rsidRDefault="00B71C84" w:rsidP="005F4E03">
      <w:pPr>
        <w:pStyle w:val="BodyText3"/>
        <w:rPr>
          <w:i/>
          <w:color w:val="FF0000"/>
        </w:rPr>
      </w:pPr>
      <w:r w:rsidRPr="0083525C">
        <w:rPr>
          <w:i/>
          <w:color w:val="FF0000"/>
        </w:rPr>
        <w:t>If there is a school w/in ¼ mile of the emissions increase, include the followi</w:t>
      </w:r>
      <w:r w:rsidR="0083525C">
        <w:rPr>
          <w:i/>
          <w:color w:val="FF0000"/>
        </w:rPr>
        <w:t>ng discussion, otherwise delete</w:t>
      </w:r>
      <w:r w:rsidRPr="0083525C">
        <w:rPr>
          <w:i/>
          <w:color w:val="FF0000"/>
        </w:rPr>
        <w:t xml:space="preserve">: </w:t>
      </w:r>
    </w:p>
    <w:p w:rsidR="00B71C84" w:rsidRDefault="00B71C84" w:rsidP="005F4E03">
      <w:r>
        <w:t>Since a school notice has been triggered (due to the above-listed school within 1,000 of the emission source), notices will also be provided to the parents/guardians of all students from all school sites within ¼ mile of the emission source.  The following schools(s) are within ¼ mile of the emission source:</w:t>
      </w:r>
    </w:p>
    <w:p w:rsidR="00B71C84" w:rsidRDefault="00B71C84" w:rsidP="005F4E03"/>
    <w:p w:rsidR="00B71C84" w:rsidRDefault="00B71C84" w:rsidP="005F4E03">
      <w:pPr>
        <w:rPr>
          <w:color w:val="0000FF"/>
        </w:rPr>
      </w:pPr>
      <w:r>
        <w:t xml:space="preserve">School Name: </w:t>
      </w:r>
      <w:r>
        <w:tab/>
      </w:r>
      <w:r>
        <w:rPr>
          <w:color w:val="0000FF"/>
        </w:rPr>
        <w:t>[Name]</w:t>
      </w:r>
    </w:p>
    <w:p w:rsidR="00B71C84" w:rsidRDefault="00B71C84" w:rsidP="005F4E03">
      <w:pPr>
        <w:rPr>
          <w:color w:val="0000FF"/>
        </w:rPr>
      </w:pPr>
      <w:r>
        <w:t>Address:</w:t>
      </w:r>
      <w:r>
        <w:rPr>
          <w:color w:val="0000FF"/>
        </w:rPr>
        <w:tab/>
      </w:r>
      <w:r>
        <w:rPr>
          <w:color w:val="0000FF"/>
        </w:rPr>
        <w:tab/>
        <w:t>[Address]</w:t>
      </w:r>
    </w:p>
    <w:p w:rsidR="00B71C84" w:rsidRPr="00B71C84" w:rsidRDefault="00B71C84" w:rsidP="005F4E03">
      <w:pPr>
        <w:pStyle w:val="BodyText3"/>
        <w:rPr>
          <w:color w:val="0000FF"/>
        </w:rPr>
      </w:pPr>
      <w:r w:rsidRPr="00B71C84">
        <w:rPr>
          <w:color w:val="0000FF"/>
        </w:rPr>
        <w:t>(</w:t>
      </w:r>
      <w:r w:rsidR="000F7376" w:rsidRPr="00B71C84">
        <w:rPr>
          <w:color w:val="0000FF"/>
        </w:rPr>
        <w:t>Add</w:t>
      </w:r>
      <w:r w:rsidRPr="00B71C84">
        <w:rPr>
          <w:color w:val="0000FF"/>
        </w:rPr>
        <w:t xml:space="preserve"> additional schools if necessary)</w:t>
      </w:r>
    </w:p>
    <w:p w:rsidR="00B71C84" w:rsidRDefault="00B71C84" w:rsidP="005F4E03">
      <w:pPr>
        <w:autoSpaceDE w:val="0"/>
        <w:autoSpaceDN w:val="0"/>
        <w:adjustRightInd w:val="0"/>
      </w:pPr>
    </w:p>
    <w:p w:rsidR="00FD6FB5" w:rsidRDefault="00B71C84" w:rsidP="005F4E03">
      <w:pPr>
        <w:pStyle w:val="BodyTextIndent3"/>
        <w:ind w:left="0"/>
        <w:rPr>
          <w:i/>
          <w:iCs/>
          <w:color w:val="FF0000"/>
        </w:rPr>
      </w:pPr>
      <w:r>
        <w:rPr>
          <w:i/>
          <w:iCs/>
          <w:color w:val="FF0000"/>
        </w:rPr>
        <w:t>(</w:t>
      </w:r>
      <w:r>
        <w:rPr>
          <w:i/>
          <w:iCs/>
          <w:color w:val="FF0000"/>
          <w:u w:val="single"/>
        </w:rPr>
        <w:t>Note</w:t>
      </w:r>
      <w:r>
        <w:rPr>
          <w:i/>
          <w:iCs/>
          <w:color w:val="FF0000"/>
        </w:rPr>
        <w:t xml:space="preserve">: Refer to </w:t>
      </w:r>
      <w:hyperlink r:id="rId18" w:history="1">
        <w:r>
          <w:rPr>
            <w:rStyle w:val="Hyperlink"/>
            <w:i/>
            <w:iCs/>
            <w:color w:val="FF0000"/>
          </w:rPr>
          <w:t>FYI - 71</w:t>
        </w:r>
      </w:hyperlink>
      <w:r>
        <w:rPr>
          <w:i/>
          <w:iCs/>
          <w:color w:val="FF0000"/>
        </w:rPr>
        <w:t xml:space="preserve"> for guidance on how to process a School Notice project.)</w:t>
      </w:r>
    </w:p>
    <w:p w:rsidR="00FD6FB5" w:rsidRDefault="00FD6FB5" w:rsidP="005F4E03">
      <w:pPr>
        <w:adjustRightInd w:val="0"/>
        <w:spacing w:before="100" w:after="100"/>
        <w:rPr>
          <w:rFonts w:cs="Arial"/>
          <w:b/>
          <w:bCs/>
          <w:color w:val="000000"/>
          <w:spacing w:val="-3"/>
        </w:rPr>
      </w:pPr>
      <w:bookmarkStart w:id="5" w:name="OLE_LINK1"/>
      <w:bookmarkStart w:id="6" w:name="OLE_LINK2"/>
      <w:bookmarkStart w:id="7" w:name="OLE_LINK3"/>
      <w:r>
        <w:rPr>
          <w:rFonts w:cs="Arial"/>
          <w:b/>
          <w:bCs/>
          <w:color w:val="000000"/>
          <w:spacing w:val="-3"/>
        </w:rPr>
        <w:t>California Environmental Quality Act (CEQA)</w:t>
      </w:r>
    </w:p>
    <w:p w:rsidR="00FD6FB5" w:rsidRDefault="00FD6FB5">
      <w:pPr>
        <w:ind w:left="720"/>
      </w:pPr>
    </w:p>
    <w:bookmarkEnd w:id="5"/>
    <w:bookmarkEnd w:id="6"/>
    <w:bookmarkEnd w:id="7"/>
    <w:p w:rsidR="00FD6FB5" w:rsidRDefault="00FD6FB5" w:rsidP="005F4E03">
      <w:pPr>
        <w:jc w:val="both"/>
        <w:rPr>
          <w:rFonts w:cs="Arial"/>
          <w:color w:val="000000"/>
          <w:szCs w:val="24"/>
        </w:rPr>
      </w:pPr>
      <w:r>
        <w:rPr>
          <w:rFonts w:cs="Arial"/>
          <w:color w:val="000000"/>
          <w:szCs w:val="24"/>
        </w:rPr>
        <w:t xml:space="preserve">The California Environmental Quality Act (CEQA) requires each public agency to adopt objectives, criteria, and specific procedures consistent with CEQA Statutes and the CEQA Guidelines for administering its responsibilities under CEQA, including the orderly evaluation of projects and preparation of environmental documents.  The San Joaquin Valley Unified Air Pollution Control District (District) adopted its </w:t>
      </w:r>
      <w:r>
        <w:rPr>
          <w:rFonts w:cs="Arial"/>
          <w:i/>
          <w:iCs/>
          <w:color w:val="000000"/>
          <w:szCs w:val="24"/>
        </w:rPr>
        <w:t>Environmental Review Guidelines</w:t>
      </w:r>
      <w:r>
        <w:rPr>
          <w:rFonts w:cs="Arial"/>
          <w:color w:val="000000"/>
          <w:szCs w:val="24"/>
        </w:rPr>
        <w:t xml:space="preserve"> (ERG) in 2001.  </w:t>
      </w:r>
    </w:p>
    <w:p w:rsidR="00FD6FB5" w:rsidRDefault="00FD6FB5">
      <w:pPr>
        <w:ind w:left="720"/>
        <w:jc w:val="both"/>
        <w:rPr>
          <w:rFonts w:cs="Arial"/>
          <w:color w:val="000000"/>
          <w:szCs w:val="24"/>
        </w:rPr>
      </w:pPr>
    </w:p>
    <w:p w:rsidR="00FD6FB5" w:rsidRDefault="00FD6FB5">
      <w:pPr>
        <w:ind w:left="720"/>
        <w:jc w:val="both"/>
        <w:rPr>
          <w:rFonts w:cs="Arial"/>
          <w:color w:val="000000"/>
          <w:szCs w:val="24"/>
        </w:rPr>
      </w:pPr>
      <w:r>
        <w:rPr>
          <w:rFonts w:cs="Arial"/>
          <w:color w:val="000000"/>
          <w:szCs w:val="24"/>
        </w:rPr>
        <w:t>The basic purposes of CEQA are to:</w:t>
      </w:r>
    </w:p>
    <w:p w:rsidR="00FD6FB5" w:rsidRDefault="00FD6FB5">
      <w:pPr>
        <w:ind w:left="720"/>
        <w:jc w:val="both"/>
        <w:rPr>
          <w:rFonts w:cs="Arial"/>
          <w:color w:val="000000"/>
          <w:szCs w:val="24"/>
        </w:rPr>
      </w:pPr>
    </w:p>
    <w:p w:rsidR="00FD6FB5" w:rsidRDefault="00FD6FB5">
      <w:pPr>
        <w:widowControl w:val="0"/>
        <w:numPr>
          <w:ilvl w:val="0"/>
          <w:numId w:val="34"/>
        </w:numPr>
        <w:tabs>
          <w:tab w:val="clear" w:pos="720"/>
          <w:tab w:val="num" w:pos="1440"/>
        </w:tabs>
        <w:ind w:left="1440"/>
        <w:jc w:val="both"/>
        <w:rPr>
          <w:rFonts w:cs="Arial"/>
          <w:color w:val="000000"/>
          <w:szCs w:val="24"/>
        </w:rPr>
      </w:pPr>
      <w:r>
        <w:rPr>
          <w:rFonts w:cs="Arial"/>
          <w:color w:val="000000"/>
          <w:szCs w:val="24"/>
        </w:rPr>
        <w:t>Inform governmental decision-makers and the public about the potential, significant environmental effects of proposed activities.</w:t>
      </w:r>
    </w:p>
    <w:p w:rsidR="00FD6FB5" w:rsidRDefault="00FD6FB5">
      <w:pPr>
        <w:widowControl w:val="0"/>
        <w:numPr>
          <w:ilvl w:val="0"/>
          <w:numId w:val="34"/>
        </w:numPr>
        <w:tabs>
          <w:tab w:val="clear" w:pos="720"/>
          <w:tab w:val="num" w:pos="1440"/>
        </w:tabs>
        <w:ind w:left="1440"/>
        <w:jc w:val="both"/>
        <w:rPr>
          <w:rFonts w:cs="Arial"/>
          <w:color w:val="000000"/>
          <w:szCs w:val="24"/>
        </w:rPr>
      </w:pPr>
      <w:r>
        <w:rPr>
          <w:rFonts w:cs="Arial"/>
          <w:color w:val="000000"/>
          <w:szCs w:val="24"/>
        </w:rPr>
        <w:t>Identify the ways that environmental damage can be avoided or significantly reduced.</w:t>
      </w:r>
    </w:p>
    <w:p w:rsidR="00FD6FB5" w:rsidRDefault="00FD6FB5">
      <w:pPr>
        <w:widowControl w:val="0"/>
        <w:numPr>
          <w:ilvl w:val="0"/>
          <w:numId w:val="34"/>
        </w:numPr>
        <w:tabs>
          <w:tab w:val="clear" w:pos="720"/>
          <w:tab w:val="num" w:pos="1440"/>
        </w:tabs>
        <w:ind w:left="1440"/>
        <w:jc w:val="both"/>
        <w:rPr>
          <w:rFonts w:cs="Arial"/>
          <w:color w:val="000000"/>
          <w:szCs w:val="24"/>
        </w:rPr>
      </w:pPr>
      <w:r>
        <w:rPr>
          <w:rFonts w:cs="Arial"/>
          <w:color w:val="000000"/>
          <w:szCs w:val="24"/>
        </w:rPr>
        <w:t>Prevent significant, avoidable damage to the environment by requiring changes in projects through the use of alternatives or mitigation measures when the governmental agency finds the changes to be feasible.</w:t>
      </w:r>
    </w:p>
    <w:p w:rsidR="00FD6FB5" w:rsidRDefault="00FD6FB5">
      <w:pPr>
        <w:widowControl w:val="0"/>
        <w:numPr>
          <w:ilvl w:val="0"/>
          <w:numId w:val="34"/>
        </w:numPr>
        <w:tabs>
          <w:tab w:val="clear" w:pos="720"/>
          <w:tab w:val="num" w:pos="1440"/>
        </w:tabs>
        <w:ind w:left="1440"/>
        <w:jc w:val="both"/>
        <w:rPr>
          <w:rFonts w:cs="Arial"/>
          <w:color w:val="000000"/>
          <w:szCs w:val="24"/>
        </w:rPr>
      </w:pPr>
      <w:r>
        <w:rPr>
          <w:rFonts w:cs="Arial"/>
          <w:color w:val="000000"/>
          <w:szCs w:val="24"/>
        </w:rPr>
        <w:t xml:space="preserve">Disclose to the public the reasons why a governmental agency approved the </w:t>
      </w:r>
      <w:r>
        <w:rPr>
          <w:rFonts w:cs="Arial"/>
          <w:color w:val="000000"/>
          <w:szCs w:val="24"/>
        </w:rPr>
        <w:lastRenderedPageBreak/>
        <w:t>project in the manner the agency chose if significant environmental effects are involved.</w:t>
      </w:r>
    </w:p>
    <w:p w:rsidR="00FD6FB5" w:rsidRDefault="00FD6FB5">
      <w:pPr>
        <w:ind w:left="720"/>
        <w:jc w:val="both"/>
        <w:rPr>
          <w:rFonts w:cs="Arial"/>
          <w:szCs w:val="24"/>
        </w:rPr>
      </w:pPr>
    </w:p>
    <w:p w:rsidR="00FD6FB5" w:rsidRDefault="00FD6FB5" w:rsidP="005F4E03">
      <w:pPr>
        <w:jc w:val="both"/>
        <w:rPr>
          <w:rFonts w:cs="Arial"/>
          <w:szCs w:val="24"/>
        </w:rPr>
      </w:pPr>
      <w:r>
        <w:rPr>
          <w:rFonts w:cs="Arial"/>
          <w:szCs w:val="24"/>
        </w:rPr>
        <w:t>Consistent with California Environmental Quality Act (CEQA) and CEQA Guidelines requirements, the San Joaquin Valley Air Pollution Control District (District) has adopted procedures and guidelines for implementing CEQA.  The District’s Environmental Review Guidelines (ERG) establishes procedures for avoiding unnecessary delay during the District’s permitting process while ensuring that significant environmental impacts are thoroughly and consistently addressed.  The ERG includes policies and procedures to be followed when processing permits for projects that are exempt under CEQA.</w:t>
      </w:r>
    </w:p>
    <w:p w:rsidR="00FD6FB5" w:rsidRDefault="00FD6FB5" w:rsidP="005F4E03">
      <w:pPr>
        <w:jc w:val="both"/>
        <w:rPr>
          <w:rFonts w:cs="Arial"/>
          <w:szCs w:val="24"/>
        </w:rPr>
      </w:pPr>
    </w:p>
    <w:p w:rsidR="00FD6FB5" w:rsidRDefault="00FD6FB5" w:rsidP="005F4E03">
      <w:pPr>
        <w:jc w:val="both"/>
        <w:rPr>
          <w:rFonts w:cs="Arial"/>
          <w:szCs w:val="24"/>
        </w:rPr>
      </w:pPr>
      <w:r>
        <w:rPr>
          <w:rFonts w:cs="Arial"/>
          <w:szCs w:val="24"/>
        </w:rPr>
        <w:t xml:space="preserve">The State Legislature granted a number of exemptions from CEQA, including projects that require only ministerial approval.  Based upon analysis of its own laws and consideration of CEQA provisions, the District has identified a limited number of District permitting activities considered to be ministerial approvals.  As set forth in §4.2.1 of the ERG, projects permitted consistent with the District’s </w:t>
      </w:r>
      <w:r>
        <w:rPr>
          <w:rFonts w:cs="Arial"/>
          <w:i/>
          <w:szCs w:val="24"/>
        </w:rPr>
        <w:t>Guidelines for Expedited Application Review</w:t>
      </w:r>
      <w:r>
        <w:rPr>
          <w:rFonts w:cs="Arial"/>
          <w:szCs w:val="24"/>
        </w:rPr>
        <w:t xml:space="preserve"> (GEAR) are standard application reviews in which little or no discretion is used in issuing Authority to Construct (ATC) documents.</w:t>
      </w:r>
    </w:p>
    <w:p w:rsidR="00FD6FB5" w:rsidRDefault="00FD6FB5" w:rsidP="005F4E03">
      <w:pPr>
        <w:jc w:val="both"/>
        <w:rPr>
          <w:rFonts w:cs="Arial"/>
          <w:szCs w:val="24"/>
        </w:rPr>
      </w:pPr>
    </w:p>
    <w:p w:rsidR="00FD6FB5" w:rsidRDefault="00FD6FB5" w:rsidP="005F4E03">
      <w:pPr>
        <w:jc w:val="both"/>
        <w:rPr>
          <w:rFonts w:cs="Arial"/>
          <w:szCs w:val="24"/>
        </w:rPr>
      </w:pPr>
      <w:r>
        <w:rPr>
          <w:rFonts w:cs="Arial"/>
          <w:szCs w:val="24"/>
        </w:rPr>
        <w:t>For the proposed project, the District performed an Engineering Evaluation (this document) and determined that the project qualifies for processing under the procedures set forth in the District’s Permit Services Procedures Manual in the Guidelines for Expedited Application Review (GEAR).  Thus, as discussed above, this issuance of such ATC(s) is a ministerial approval for the District and is not subject to CEQA provisions.</w:t>
      </w:r>
    </w:p>
    <w:p w:rsidR="008B2F73" w:rsidRDefault="008B2F73">
      <w:pPr>
        <w:ind w:left="720"/>
        <w:jc w:val="both"/>
        <w:rPr>
          <w:rFonts w:cs="Arial"/>
          <w:szCs w:val="24"/>
        </w:rPr>
      </w:pPr>
    </w:p>
    <w:p w:rsidR="00FD6FB5" w:rsidRDefault="00FD6FB5">
      <w:pPr>
        <w:pStyle w:val="Heading4"/>
      </w:pPr>
      <w:r>
        <w:t>IX.</w:t>
      </w:r>
      <w:r>
        <w:tab/>
        <w:t>Recommendations</w:t>
      </w:r>
    </w:p>
    <w:p w:rsidR="00FD6FB5" w:rsidRDefault="00FD6FB5"/>
    <w:p w:rsidR="00FD6FB5" w:rsidRDefault="000F7376">
      <w:pPr>
        <w:tabs>
          <w:tab w:val="left" w:pos="-720"/>
          <w:tab w:val="left" w:pos="0"/>
        </w:tabs>
        <w:suppressAutoHyphens/>
        <w:ind w:left="720"/>
        <w:jc w:val="both"/>
      </w:pPr>
      <w:r>
        <w:t xml:space="preserve">Issue Authority to Construct </w:t>
      </w:r>
      <w:r>
        <w:rPr>
          <w:color w:val="0000FF"/>
        </w:rPr>
        <w:t>C-xxxx-xx</w:t>
      </w:r>
      <w:r>
        <w:t xml:space="preserve"> subject to the permit conditions on the attached draft Authority to Construct document.</w:t>
      </w:r>
    </w:p>
    <w:p w:rsidR="00FD6FB5" w:rsidRDefault="00FD6FB5">
      <w:pPr>
        <w:tabs>
          <w:tab w:val="left" w:pos="-720"/>
        </w:tabs>
        <w:suppressAutoHyphens/>
      </w:pPr>
    </w:p>
    <w:p w:rsidR="00FD6FB5" w:rsidRDefault="00FD6FB5">
      <w:pPr>
        <w:pStyle w:val="Heading4"/>
      </w:pPr>
      <w:r>
        <w:t>X.</w:t>
      </w:r>
      <w:r>
        <w:tab/>
        <w:t>Billing Information</w:t>
      </w:r>
    </w:p>
    <w:p w:rsidR="00FD6FB5" w:rsidRDefault="00FD6FB5">
      <w:pPr>
        <w:suppressAutoHyphens/>
        <w:jc w:val="both"/>
        <w:rPr>
          <w:spacing w:val="-3"/>
        </w:rPr>
      </w:pPr>
    </w:p>
    <w:tbl>
      <w:tblPr>
        <w:tblW w:w="0" w:type="auto"/>
        <w:tblInd w:w="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51"/>
        <w:gridCol w:w="1820"/>
        <w:gridCol w:w="2000"/>
      </w:tblGrid>
      <w:tr w:rsidR="00FD6FB5" w:rsidTr="003F532A">
        <w:tc>
          <w:tcPr>
            <w:tcW w:w="1951" w:type="dxa"/>
            <w:shd w:val="clear" w:color="auto" w:fill="auto"/>
          </w:tcPr>
          <w:p w:rsidR="00FD6FB5" w:rsidRPr="007009EE" w:rsidRDefault="00FD6FB5">
            <w:pPr>
              <w:suppressAutoHyphens/>
              <w:jc w:val="center"/>
              <w:rPr>
                <w:spacing w:val="-3"/>
                <w:sz w:val="22"/>
                <w:szCs w:val="22"/>
              </w:rPr>
            </w:pPr>
            <w:r w:rsidRPr="007009EE">
              <w:rPr>
                <w:spacing w:val="-3"/>
                <w:sz w:val="22"/>
                <w:szCs w:val="22"/>
              </w:rPr>
              <w:t>Permit Number</w:t>
            </w:r>
          </w:p>
        </w:tc>
        <w:tc>
          <w:tcPr>
            <w:tcW w:w="1820" w:type="dxa"/>
            <w:shd w:val="clear" w:color="auto" w:fill="auto"/>
          </w:tcPr>
          <w:p w:rsidR="00FD6FB5" w:rsidRPr="007009EE" w:rsidRDefault="00FD6FB5">
            <w:pPr>
              <w:suppressAutoHyphens/>
              <w:jc w:val="center"/>
              <w:rPr>
                <w:color w:val="000000"/>
                <w:spacing w:val="-3"/>
                <w:sz w:val="22"/>
                <w:szCs w:val="22"/>
              </w:rPr>
            </w:pPr>
            <w:r w:rsidRPr="007009EE">
              <w:rPr>
                <w:color w:val="000000"/>
                <w:spacing w:val="-3"/>
                <w:sz w:val="22"/>
                <w:szCs w:val="22"/>
              </w:rPr>
              <w:t>Fee Schedule</w:t>
            </w:r>
          </w:p>
        </w:tc>
        <w:tc>
          <w:tcPr>
            <w:tcW w:w="2000" w:type="dxa"/>
            <w:shd w:val="clear" w:color="auto" w:fill="auto"/>
          </w:tcPr>
          <w:p w:rsidR="00FD6FB5" w:rsidRPr="007009EE" w:rsidRDefault="00FD6FB5">
            <w:pPr>
              <w:suppressAutoHyphens/>
              <w:jc w:val="center"/>
              <w:rPr>
                <w:spacing w:val="-3"/>
                <w:sz w:val="22"/>
                <w:szCs w:val="22"/>
              </w:rPr>
            </w:pPr>
            <w:r w:rsidRPr="007009EE">
              <w:rPr>
                <w:spacing w:val="-3"/>
                <w:sz w:val="22"/>
                <w:szCs w:val="22"/>
              </w:rPr>
              <w:t>Fee Description</w:t>
            </w:r>
          </w:p>
        </w:tc>
      </w:tr>
      <w:tr w:rsidR="00FD6FB5">
        <w:tc>
          <w:tcPr>
            <w:tcW w:w="1951" w:type="dxa"/>
          </w:tcPr>
          <w:p w:rsidR="00FD6FB5" w:rsidRPr="007009EE" w:rsidRDefault="00FD6FB5">
            <w:pPr>
              <w:suppressAutoHyphens/>
              <w:jc w:val="center"/>
              <w:rPr>
                <w:bCs/>
                <w:color w:val="0000FF"/>
                <w:spacing w:val="-3"/>
                <w:sz w:val="22"/>
                <w:szCs w:val="22"/>
              </w:rPr>
            </w:pPr>
            <w:r w:rsidRPr="007009EE">
              <w:rPr>
                <w:bCs/>
                <w:color w:val="0000FF"/>
                <w:spacing w:val="-3"/>
                <w:sz w:val="22"/>
                <w:szCs w:val="22"/>
              </w:rPr>
              <w:t>C-xxxx-x-x</w:t>
            </w:r>
          </w:p>
        </w:tc>
        <w:tc>
          <w:tcPr>
            <w:tcW w:w="1820" w:type="dxa"/>
          </w:tcPr>
          <w:p w:rsidR="00FD6FB5" w:rsidRPr="007009EE" w:rsidRDefault="00FD6FB5">
            <w:pPr>
              <w:suppressAutoHyphens/>
              <w:jc w:val="center"/>
              <w:rPr>
                <w:color w:val="0000FF"/>
                <w:spacing w:val="-3"/>
                <w:sz w:val="22"/>
                <w:szCs w:val="22"/>
              </w:rPr>
            </w:pPr>
            <w:r w:rsidRPr="007009EE">
              <w:rPr>
                <w:spacing w:val="-3"/>
                <w:sz w:val="22"/>
                <w:szCs w:val="22"/>
              </w:rPr>
              <w:t>3020-10-</w:t>
            </w:r>
            <w:r w:rsidRPr="007009EE">
              <w:rPr>
                <w:color w:val="0000FF"/>
                <w:spacing w:val="-3"/>
                <w:sz w:val="22"/>
                <w:szCs w:val="22"/>
              </w:rPr>
              <w:t>[ ]</w:t>
            </w:r>
          </w:p>
        </w:tc>
        <w:tc>
          <w:tcPr>
            <w:tcW w:w="2000" w:type="dxa"/>
          </w:tcPr>
          <w:p w:rsidR="00FD6FB5" w:rsidRPr="007009EE" w:rsidRDefault="00FD6FB5">
            <w:pPr>
              <w:suppressAutoHyphens/>
              <w:jc w:val="center"/>
              <w:rPr>
                <w:color w:val="0000FF"/>
                <w:spacing w:val="-3"/>
                <w:sz w:val="22"/>
                <w:szCs w:val="22"/>
              </w:rPr>
            </w:pPr>
            <w:r w:rsidRPr="007009EE">
              <w:rPr>
                <w:color w:val="0000FF"/>
                <w:spacing w:val="-3"/>
                <w:sz w:val="22"/>
                <w:szCs w:val="22"/>
              </w:rPr>
              <w:t>[  ]</w:t>
            </w:r>
            <w:r w:rsidR="008B2F73">
              <w:rPr>
                <w:color w:val="0000FF"/>
                <w:spacing w:val="-3"/>
                <w:sz w:val="22"/>
                <w:szCs w:val="22"/>
              </w:rPr>
              <w:t xml:space="preserve"> bhp</w:t>
            </w:r>
          </w:p>
        </w:tc>
      </w:tr>
    </w:tbl>
    <w:p w:rsidR="00FD6FB5" w:rsidRDefault="00FD6FB5">
      <w:pPr>
        <w:rPr>
          <w:sz w:val="20"/>
        </w:rPr>
      </w:pPr>
      <w:r>
        <w:tab/>
      </w:r>
    </w:p>
    <w:p w:rsidR="00FD6FB5" w:rsidRPr="008D1507" w:rsidRDefault="00FD6FB5">
      <w:pPr>
        <w:ind w:firstLine="720"/>
        <w:rPr>
          <w:szCs w:val="24"/>
        </w:rPr>
      </w:pPr>
      <w:r w:rsidRPr="008D1507">
        <w:rPr>
          <w:szCs w:val="24"/>
        </w:rPr>
        <w:t>APPENDIX I:</w:t>
      </w:r>
      <w:r w:rsidRPr="008D1507">
        <w:rPr>
          <w:szCs w:val="24"/>
        </w:rPr>
        <w:tab/>
      </w:r>
      <w:r w:rsidR="008D1507">
        <w:rPr>
          <w:szCs w:val="24"/>
        </w:rPr>
        <w:tab/>
      </w:r>
      <w:r w:rsidRPr="008D1507">
        <w:rPr>
          <w:szCs w:val="24"/>
        </w:rPr>
        <w:t xml:space="preserve">BACT </w:t>
      </w:r>
      <w:r w:rsidR="008D1507" w:rsidRPr="008D1507">
        <w:rPr>
          <w:szCs w:val="24"/>
        </w:rPr>
        <w:t xml:space="preserve">Guideline 2.1.2 &amp; Top-Down </w:t>
      </w:r>
      <w:r w:rsidR="00A22732">
        <w:rPr>
          <w:szCs w:val="24"/>
        </w:rPr>
        <w:t>BACT</w:t>
      </w:r>
      <w:r w:rsidR="008D1507" w:rsidRPr="008D1507">
        <w:rPr>
          <w:szCs w:val="24"/>
        </w:rPr>
        <w:t xml:space="preserve"> Analysis</w:t>
      </w:r>
    </w:p>
    <w:p w:rsidR="00FD6FB5" w:rsidRPr="008D1507" w:rsidRDefault="00FD6FB5">
      <w:pPr>
        <w:ind w:firstLine="720"/>
        <w:rPr>
          <w:szCs w:val="24"/>
        </w:rPr>
      </w:pPr>
      <w:r w:rsidRPr="008D1507">
        <w:rPr>
          <w:szCs w:val="24"/>
        </w:rPr>
        <w:t>APPENDIX II:</w:t>
      </w:r>
      <w:r w:rsidRPr="008D1507">
        <w:rPr>
          <w:szCs w:val="24"/>
        </w:rPr>
        <w:tab/>
        <w:t xml:space="preserve">HRA </w:t>
      </w:r>
      <w:r w:rsidR="008D1507" w:rsidRPr="008D1507">
        <w:rPr>
          <w:szCs w:val="24"/>
        </w:rPr>
        <w:t>Summary</w:t>
      </w:r>
    </w:p>
    <w:p w:rsidR="00FD6FB5" w:rsidRPr="008D1507" w:rsidRDefault="00FD6FB5">
      <w:pPr>
        <w:ind w:firstLine="720"/>
        <w:rPr>
          <w:szCs w:val="24"/>
        </w:rPr>
      </w:pPr>
      <w:r w:rsidRPr="008D1507">
        <w:rPr>
          <w:szCs w:val="24"/>
        </w:rPr>
        <w:t>APPENDIX III:</w:t>
      </w:r>
      <w:r w:rsidRPr="008D1507">
        <w:rPr>
          <w:szCs w:val="24"/>
        </w:rPr>
        <w:tab/>
      </w:r>
      <w:r w:rsidR="008D1507" w:rsidRPr="008D1507">
        <w:rPr>
          <w:szCs w:val="24"/>
        </w:rPr>
        <w:t>Emissions Conversion Spreadsheet</w:t>
      </w:r>
    </w:p>
    <w:p w:rsidR="00FD6FB5" w:rsidRPr="008D1507" w:rsidRDefault="00FD6FB5">
      <w:pPr>
        <w:rPr>
          <w:szCs w:val="24"/>
        </w:rPr>
      </w:pPr>
      <w:r w:rsidRPr="008D1507">
        <w:rPr>
          <w:szCs w:val="24"/>
        </w:rPr>
        <w:tab/>
        <w:t xml:space="preserve">APPENDIX </w:t>
      </w:r>
      <w:r w:rsidR="008B2F73" w:rsidRPr="008D1507">
        <w:rPr>
          <w:szCs w:val="24"/>
        </w:rPr>
        <w:t>IV</w:t>
      </w:r>
      <w:r w:rsidRPr="008D1507">
        <w:rPr>
          <w:szCs w:val="24"/>
        </w:rPr>
        <w:t xml:space="preserve">: </w:t>
      </w:r>
      <w:r w:rsidRPr="008D1507">
        <w:rPr>
          <w:szCs w:val="24"/>
        </w:rPr>
        <w:tab/>
      </w:r>
      <w:r w:rsidR="008D1507" w:rsidRPr="008D1507">
        <w:rPr>
          <w:szCs w:val="24"/>
        </w:rPr>
        <w:t>Draft Authority to Construct</w:t>
      </w:r>
    </w:p>
    <w:p w:rsidR="00B34436" w:rsidRDefault="00FD6FB5">
      <w:pPr>
        <w:rPr>
          <w:szCs w:val="24"/>
        </w:rPr>
        <w:sectPr w:rsidR="00B34436" w:rsidSect="007009EE">
          <w:headerReference w:type="default" r:id="rId19"/>
          <w:footerReference w:type="even" r:id="rId20"/>
          <w:footerReference w:type="default" r:id="rId21"/>
          <w:footerReference w:type="first" r:id="rId22"/>
          <w:type w:val="continuous"/>
          <w:pgSz w:w="12240" w:h="15840" w:code="1"/>
          <w:pgMar w:top="1008" w:right="1008" w:bottom="1440" w:left="1008" w:header="720" w:footer="806" w:gutter="0"/>
          <w:paperSrc w:first="262" w:other="262"/>
          <w:cols w:space="720"/>
          <w:titlePg/>
          <w:docGrid w:linePitch="326"/>
        </w:sectPr>
      </w:pPr>
      <w:r w:rsidRPr="008D1507">
        <w:rPr>
          <w:szCs w:val="24"/>
        </w:rPr>
        <w:tab/>
        <w:t xml:space="preserve">APPENDIX V: </w:t>
      </w:r>
      <w:r w:rsidRPr="008D1507">
        <w:rPr>
          <w:szCs w:val="24"/>
        </w:rPr>
        <w:tab/>
      </w:r>
      <w:r w:rsidR="008D1507" w:rsidRPr="008D1507">
        <w:rPr>
          <w:szCs w:val="24"/>
        </w:rPr>
        <w:t>Emissions Profile</w:t>
      </w:r>
    </w:p>
    <w:p w:rsidR="00FD6FB5" w:rsidRPr="005D021C" w:rsidRDefault="00FD6FB5">
      <w:pPr>
        <w:jc w:val="center"/>
        <w:rPr>
          <w:b/>
          <w:sz w:val="44"/>
          <w:szCs w:val="44"/>
        </w:rPr>
      </w:pPr>
      <w:r w:rsidRPr="005D021C">
        <w:rPr>
          <w:b/>
          <w:sz w:val="44"/>
          <w:szCs w:val="44"/>
        </w:rPr>
        <w:lastRenderedPageBreak/>
        <w:t>APPENDIX I</w:t>
      </w:r>
    </w:p>
    <w:p w:rsidR="00FD6FB5" w:rsidRDefault="00FD6FB5">
      <w:pPr>
        <w:jc w:val="center"/>
        <w:rPr>
          <w:sz w:val="40"/>
        </w:rPr>
      </w:pPr>
    </w:p>
    <w:p w:rsidR="00FD6FB5" w:rsidRPr="005D021C" w:rsidRDefault="00FD6FB5">
      <w:pPr>
        <w:jc w:val="center"/>
        <w:rPr>
          <w:b/>
          <w:bCs/>
          <w:sz w:val="32"/>
          <w:szCs w:val="32"/>
        </w:rPr>
      </w:pPr>
      <w:r w:rsidRPr="005D021C">
        <w:rPr>
          <w:b/>
          <w:bCs/>
          <w:sz w:val="32"/>
          <w:szCs w:val="32"/>
        </w:rPr>
        <w:t xml:space="preserve">BACT </w:t>
      </w:r>
      <w:r w:rsidR="005C5DAF" w:rsidRPr="005C5DAF">
        <w:rPr>
          <w:b/>
          <w:bCs/>
          <w:sz w:val="32"/>
          <w:szCs w:val="32"/>
        </w:rPr>
        <w:t xml:space="preserve">Guideline 2.1.2 &amp; Top-Down </w:t>
      </w:r>
      <w:r w:rsidRPr="005D021C">
        <w:rPr>
          <w:b/>
          <w:bCs/>
          <w:sz w:val="32"/>
          <w:szCs w:val="32"/>
        </w:rPr>
        <w:t>BACT A</w:t>
      </w:r>
      <w:r w:rsidR="005C5DAF" w:rsidRPr="005C5DAF">
        <w:rPr>
          <w:b/>
          <w:bCs/>
          <w:sz w:val="32"/>
          <w:szCs w:val="32"/>
        </w:rPr>
        <w:t>nalysis</w:t>
      </w:r>
    </w:p>
    <w:p w:rsidR="00FD6FB5" w:rsidRDefault="00FD6FB5">
      <w:pPr>
        <w:jc w:val="center"/>
        <w:rPr>
          <w:sz w:val="40"/>
        </w:rPr>
        <w:sectPr w:rsidR="00FD6FB5" w:rsidSect="005D021C">
          <w:footerReference w:type="default" r:id="rId23"/>
          <w:pgSz w:w="12240" w:h="15840" w:code="1"/>
          <w:pgMar w:top="1440" w:right="1440" w:bottom="1440" w:left="1440" w:header="720" w:footer="806" w:gutter="0"/>
          <w:paperSrc w:first="7" w:other="7"/>
          <w:cols w:space="720"/>
          <w:vAlign w:val="center"/>
          <w:docGrid w:linePitch="326"/>
        </w:sectPr>
      </w:pPr>
    </w:p>
    <w:p w:rsidR="00FD6FB5" w:rsidRDefault="00FD6FB5">
      <w:pPr>
        <w:jc w:val="center"/>
        <w:rPr>
          <w:sz w:val="40"/>
        </w:rPr>
      </w:pPr>
    </w:p>
    <w:p w:rsidR="00FD6FB5" w:rsidRDefault="00995539">
      <w:pPr>
        <w:suppressAutoHyphens/>
        <w:ind w:left="1260" w:hanging="450"/>
        <w:jc w:val="center"/>
        <w:rPr>
          <w:sz w:val="40"/>
        </w:rPr>
        <w:sectPr w:rsidR="00FD6FB5" w:rsidSect="005D021C">
          <w:pgSz w:w="12240" w:h="15840" w:code="1"/>
          <w:pgMar w:top="994" w:right="1440" w:bottom="1440" w:left="1440" w:header="720" w:footer="806" w:gutter="0"/>
          <w:paperSrc w:first="7" w:other="7"/>
          <w:cols w:space="720"/>
        </w:sectPr>
      </w:pPr>
      <w:r>
        <w:rPr>
          <w:noProof/>
          <w:sz w:val="40"/>
        </w:rPr>
        <w:drawing>
          <wp:inline distT="0" distB="0" distL="0" distR="0" wp14:anchorId="12F5B6F8" wp14:editId="77790F93">
            <wp:extent cx="5362575" cy="6858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62575" cy="6858000"/>
                    </a:xfrm>
                    <a:prstGeom prst="rect">
                      <a:avLst/>
                    </a:prstGeom>
                    <a:noFill/>
                    <a:ln>
                      <a:noFill/>
                    </a:ln>
                  </pic:spPr>
                </pic:pic>
              </a:graphicData>
            </a:graphic>
          </wp:inline>
        </w:drawing>
      </w:r>
    </w:p>
    <w:p w:rsidR="00FD6FB5" w:rsidRDefault="00FD6FB5">
      <w:pPr>
        <w:suppressAutoHyphens/>
        <w:ind w:left="1260" w:hanging="450"/>
        <w:jc w:val="center"/>
        <w:rPr>
          <w:b/>
          <w:bCs/>
          <w:spacing w:val="-3"/>
        </w:rPr>
      </w:pPr>
      <w:r>
        <w:rPr>
          <w:b/>
          <w:bCs/>
          <w:spacing w:val="-3"/>
          <w:u w:val="single"/>
        </w:rPr>
        <w:lastRenderedPageBreak/>
        <w:t>Top-Down BACT Analysis</w:t>
      </w:r>
    </w:p>
    <w:p w:rsidR="00FD6FB5" w:rsidRDefault="00FD6FB5">
      <w:pPr>
        <w:suppressAutoHyphens/>
        <w:ind w:left="810"/>
        <w:jc w:val="both"/>
        <w:rPr>
          <w:bCs/>
          <w:spacing w:val="-3"/>
        </w:rPr>
      </w:pPr>
    </w:p>
    <w:p w:rsidR="00FD6FB5" w:rsidRDefault="00FD6FB5">
      <w:pPr>
        <w:ind w:left="810"/>
        <w:rPr>
          <w:snapToGrid w:val="0"/>
        </w:rPr>
      </w:pPr>
      <w:r>
        <w:rPr>
          <w:snapToGrid w:val="0"/>
        </w:rPr>
        <w:t>a. St</w:t>
      </w:r>
      <w:r w:rsidR="008326F3">
        <w:rPr>
          <w:snapToGrid w:val="0"/>
        </w:rPr>
        <w:t>ep 1 - Identify All Possible VOC</w:t>
      </w:r>
      <w:r>
        <w:rPr>
          <w:snapToGrid w:val="0"/>
          <w:sz w:val="16"/>
        </w:rPr>
        <w:t xml:space="preserve"> </w:t>
      </w:r>
      <w:r>
        <w:rPr>
          <w:snapToGrid w:val="0"/>
        </w:rPr>
        <w:t>Control Technologies</w:t>
      </w:r>
    </w:p>
    <w:p w:rsidR="00FD6FB5" w:rsidRDefault="00FD6FB5">
      <w:pPr>
        <w:ind w:left="1350"/>
        <w:rPr>
          <w:i/>
          <w:snapToGrid w:val="0"/>
          <w:sz w:val="16"/>
        </w:rPr>
      </w:pPr>
    </w:p>
    <w:p w:rsidR="00FD6FB5" w:rsidRDefault="00FD6FB5">
      <w:pPr>
        <w:ind w:left="1350"/>
        <w:rPr>
          <w:snapToGrid w:val="0"/>
        </w:rPr>
      </w:pPr>
      <w:r>
        <w:rPr>
          <w:snapToGrid w:val="0"/>
        </w:rPr>
        <w:t xml:space="preserve">The SJVUAPCD BACT Clearinghouse </w:t>
      </w:r>
      <w:r>
        <w:rPr>
          <w:spacing w:val="-3"/>
        </w:rPr>
        <w:t xml:space="preserve">Guideline </w:t>
      </w:r>
      <w:r>
        <w:rPr>
          <w:color w:val="0000FF"/>
          <w:spacing w:val="-3"/>
        </w:rPr>
        <w:t>2.1.2</w:t>
      </w:r>
      <w:r>
        <w:rPr>
          <w:spacing w:val="-3"/>
        </w:rPr>
        <w:t xml:space="preserve"> </w:t>
      </w:r>
      <w:r>
        <w:rPr>
          <w:snapToGrid w:val="0"/>
        </w:rPr>
        <w:t>identifies for this soil remediation operation:</w:t>
      </w:r>
    </w:p>
    <w:p w:rsidR="00FD6FB5" w:rsidRDefault="00FD6FB5">
      <w:pPr>
        <w:ind w:left="1350"/>
        <w:rPr>
          <w:snapToGrid w:val="0"/>
          <w:sz w:val="16"/>
        </w:rPr>
      </w:pPr>
    </w:p>
    <w:p w:rsidR="00FD6FB5" w:rsidRDefault="00FD6FB5">
      <w:pPr>
        <w:tabs>
          <w:tab w:val="left" w:pos="1440"/>
        </w:tabs>
        <w:ind w:left="1440" w:hanging="90"/>
        <w:rPr>
          <w:snapToGrid w:val="0"/>
        </w:rPr>
      </w:pPr>
      <w:r>
        <w:rPr>
          <w:snapToGrid w:val="0"/>
        </w:rPr>
        <w:t>-Natural gas or LPG auxiliary fuel and 3 – way catalytic converter @ 95% control</w:t>
      </w:r>
    </w:p>
    <w:p w:rsidR="00FD6FB5" w:rsidRDefault="00FD6FB5">
      <w:pPr>
        <w:ind w:left="1350"/>
        <w:rPr>
          <w:snapToGrid w:val="0"/>
          <w:sz w:val="16"/>
        </w:rPr>
      </w:pPr>
    </w:p>
    <w:p w:rsidR="00FD6FB5" w:rsidRDefault="00FD6FB5">
      <w:pPr>
        <w:ind w:left="810"/>
        <w:rPr>
          <w:snapToGrid w:val="0"/>
        </w:rPr>
      </w:pPr>
      <w:r>
        <w:rPr>
          <w:snapToGrid w:val="0"/>
        </w:rPr>
        <w:t>b. Step 2 - Eliminate Technologically Infeasible Options</w:t>
      </w:r>
    </w:p>
    <w:p w:rsidR="00FD6FB5" w:rsidRDefault="00FD6FB5">
      <w:pPr>
        <w:ind w:left="1350"/>
        <w:rPr>
          <w:snapToGrid w:val="0"/>
          <w:sz w:val="16"/>
        </w:rPr>
      </w:pPr>
    </w:p>
    <w:p w:rsidR="00FD6FB5" w:rsidRDefault="00FD6FB5">
      <w:pPr>
        <w:ind w:left="1350"/>
        <w:rPr>
          <w:snapToGrid w:val="0"/>
        </w:rPr>
      </w:pPr>
      <w:r>
        <w:rPr>
          <w:snapToGrid w:val="0"/>
        </w:rPr>
        <w:t>There are no technologically infeasible options listed.</w:t>
      </w:r>
    </w:p>
    <w:p w:rsidR="00FD6FB5" w:rsidRDefault="00FD6FB5">
      <w:pPr>
        <w:ind w:left="1350"/>
        <w:rPr>
          <w:snapToGrid w:val="0"/>
        </w:rPr>
      </w:pPr>
    </w:p>
    <w:p w:rsidR="00FD6FB5" w:rsidRDefault="00FD6FB5">
      <w:pPr>
        <w:ind w:left="810"/>
        <w:rPr>
          <w:snapToGrid w:val="0"/>
        </w:rPr>
      </w:pPr>
      <w:r>
        <w:rPr>
          <w:snapToGrid w:val="0"/>
        </w:rPr>
        <w:t>c. Step 3 - Rank Remaining Control Technologies by Control Effectiveness</w:t>
      </w:r>
    </w:p>
    <w:p w:rsidR="00FD6FB5" w:rsidRDefault="00FD6FB5">
      <w:pPr>
        <w:ind w:left="1350"/>
        <w:rPr>
          <w:snapToGrid w:val="0"/>
          <w:sz w:val="16"/>
        </w:rPr>
      </w:pPr>
    </w:p>
    <w:p w:rsidR="00FD6FB5" w:rsidRDefault="00FD6FB5">
      <w:pPr>
        <w:tabs>
          <w:tab w:val="left" w:pos="1440"/>
        </w:tabs>
        <w:ind w:left="1440" w:hanging="90"/>
        <w:rPr>
          <w:snapToGrid w:val="0"/>
        </w:rPr>
      </w:pPr>
      <w:r>
        <w:rPr>
          <w:snapToGrid w:val="0"/>
        </w:rPr>
        <w:t>- Natural gas or LPG auxiliary fuel and 3 – way catalytic converter @ 95% control.</w:t>
      </w:r>
    </w:p>
    <w:p w:rsidR="00FD6FB5" w:rsidRDefault="00FD6FB5">
      <w:pPr>
        <w:ind w:left="1350"/>
        <w:rPr>
          <w:snapToGrid w:val="0"/>
        </w:rPr>
      </w:pPr>
    </w:p>
    <w:p w:rsidR="00FD6FB5" w:rsidRDefault="00FD6FB5">
      <w:pPr>
        <w:ind w:left="810"/>
        <w:rPr>
          <w:snapToGrid w:val="0"/>
        </w:rPr>
      </w:pPr>
      <w:r>
        <w:rPr>
          <w:snapToGrid w:val="0"/>
        </w:rPr>
        <w:t>d. Step 4 - Cost Effectiveness Analysis</w:t>
      </w:r>
    </w:p>
    <w:p w:rsidR="00FD6FB5" w:rsidRDefault="00FD6FB5">
      <w:pPr>
        <w:ind w:left="1350"/>
        <w:rPr>
          <w:snapToGrid w:val="0"/>
          <w:sz w:val="16"/>
        </w:rPr>
      </w:pPr>
    </w:p>
    <w:p w:rsidR="00FD6FB5" w:rsidRDefault="00FD6FB5">
      <w:pPr>
        <w:ind w:left="1350"/>
        <w:rPr>
          <w:snapToGrid w:val="0"/>
        </w:rPr>
      </w:pPr>
      <w:r>
        <w:rPr>
          <w:snapToGrid w:val="0"/>
        </w:rPr>
        <w:t>The applicant is already proposing the most effective control technology listed above.  Therefore, per SJVUAPCD BACT policy, the cost effectiveness analysis is not required.</w:t>
      </w:r>
    </w:p>
    <w:p w:rsidR="00FD6FB5" w:rsidRDefault="00FD6FB5">
      <w:pPr>
        <w:ind w:left="1350"/>
        <w:rPr>
          <w:snapToGrid w:val="0"/>
        </w:rPr>
      </w:pPr>
    </w:p>
    <w:p w:rsidR="00FD6FB5" w:rsidRDefault="00FD6FB5">
      <w:pPr>
        <w:ind w:left="810"/>
        <w:rPr>
          <w:snapToGrid w:val="0"/>
        </w:rPr>
      </w:pPr>
      <w:r>
        <w:rPr>
          <w:snapToGrid w:val="0"/>
        </w:rPr>
        <w:t>e. Step 5 - Select BACT</w:t>
      </w:r>
    </w:p>
    <w:p w:rsidR="00FD6FB5" w:rsidRDefault="00FD6FB5">
      <w:pPr>
        <w:ind w:left="1350"/>
        <w:jc w:val="both"/>
        <w:rPr>
          <w:snapToGrid w:val="0"/>
          <w:sz w:val="16"/>
        </w:rPr>
      </w:pPr>
    </w:p>
    <w:p w:rsidR="00FD6FB5" w:rsidRDefault="00FD6FB5">
      <w:pPr>
        <w:ind w:left="1350"/>
        <w:rPr>
          <w:sz w:val="40"/>
        </w:rPr>
      </w:pPr>
      <w:r>
        <w:rPr>
          <w:spacing w:val="-3"/>
        </w:rPr>
        <w:t xml:space="preserve">The applicant is proposing BACT by the use of </w:t>
      </w:r>
      <w:r w:rsidR="008B2F73">
        <w:rPr>
          <w:spacing w:val="-3"/>
        </w:rPr>
        <w:t>an</w:t>
      </w:r>
      <w:r>
        <w:rPr>
          <w:spacing w:val="-3"/>
        </w:rPr>
        <w:t xml:space="preserve"> </w:t>
      </w:r>
      <w:r>
        <w:rPr>
          <w:color w:val="0000FF"/>
          <w:spacing w:val="-3"/>
        </w:rPr>
        <w:t>IC engine</w:t>
      </w:r>
      <w:r>
        <w:rPr>
          <w:spacing w:val="-3"/>
        </w:rPr>
        <w:t xml:space="preserve"> </w:t>
      </w:r>
      <w:r>
        <w:rPr>
          <w:color w:val="0000FF"/>
          <w:spacing w:val="-3"/>
        </w:rPr>
        <w:t xml:space="preserve">with a 3-way catalytic converter at 95% or greater </w:t>
      </w:r>
      <w:r w:rsidR="008D1507">
        <w:rPr>
          <w:color w:val="0000FF"/>
          <w:spacing w:val="-3"/>
        </w:rPr>
        <w:t xml:space="preserve">VOC </w:t>
      </w:r>
      <w:r>
        <w:rPr>
          <w:color w:val="0000FF"/>
          <w:spacing w:val="-3"/>
        </w:rPr>
        <w:t>control efficiency and LPG as auxiliary fuel.</w:t>
      </w:r>
    </w:p>
    <w:p w:rsidR="00FD6FB5" w:rsidRDefault="00FD6FB5">
      <w:pPr>
        <w:jc w:val="center"/>
        <w:rPr>
          <w:sz w:val="40"/>
        </w:rPr>
        <w:sectPr w:rsidR="00FD6FB5" w:rsidSect="005D021C">
          <w:pgSz w:w="12240" w:h="15840" w:code="1"/>
          <w:pgMar w:top="994" w:right="1440" w:bottom="1440" w:left="1440" w:header="720" w:footer="806" w:gutter="0"/>
          <w:paperSrc w:first="7" w:other="7"/>
          <w:cols w:space="720"/>
        </w:sectPr>
      </w:pPr>
    </w:p>
    <w:p w:rsidR="00FD6FB5" w:rsidRPr="005D021C" w:rsidRDefault="00FD6FB5">
      <w:pPr>
        <w:jc w:val="center"/>
        <w:rPr>
          <w:b/>
          <w:sz w:val="44"/>
          <w:szCs w:val="44"/>
        </w:rPr>
      </w:pPr>
      <w:r w:rsidRPr="005D021C">
        <w:rPr>
          <w:b/>
          <w:sz w:val="44"/>
          <w:szCs w:val="44"/>
        </w:rPr>
        <w:lastRenderedPageBreak/>
        <w:t>APPENDIX II</w:t>
      </w:r>
    </w:p>
    <w:p w:rsidR="00FD6FB5" w:rsidRDefault="00FD6FB5">
      <w:pPr>
        <w:jc w:val="center"/>
        <w:rPr>
          <w:sz w:val="36"/>
        </w:rPr>
      </w:pPr>
    </w:p>
    <w:p w:rsidR="00FD6FB5" w:rsidRPr="005D021C" w:rsidRDefault="00FD6FB5">
      <w:pPr>
        <w:jc w:val="center"/>
        <w:rPr>
          <w:b/>
          <w:bCs/>
          <w:sz w:val="32"/>
          <w:szCs w:val="32"/>
        </w:rPr>
        <w:sectPr w:rsidR="00FD6FB5" w:rsidRPr="005D021C" w:rsidSect="005D021C">
          <w:pgSz w:w="12240" w:h="15840" w:code="1"/>
          <w:pgMar w:top="1440" w:right="1440" w:bottom="1440" w:left="1440" w:header="720" w:footer="806" w:gutter="0"/>
          <w:paperSrc w:first="7" w:other="7"/>
          <w:cols w:space="720"/>
          <w:vAlign w:val="center"/>
        </w:sectPr>
      </w:pPr>
      <w:r w:rsidRPr="005D021C">
        <w:rPr>
          <w:b/>
          <w:bCs/>
          <w:sz w:val="32"/>
          <w:szCs w:val="32"/>
        </w:rPr>
        <w:t>HRA S</w:t>
      </w:r>
      <w:r w:rsidR="005C5DAF" w:rsidRPr="005C5DAF">
        <w:rPr>
          <w:b/>
          <w:bCs/>
          <w:sz w:val="32"/>
          <w:szCs w:val="32"/>
        </w:rPr>
        <w:t>ummary</w:t>
      </w:r>
    </w:p>
    <w:p w:rsidR="00FD6FB5" w:rsidRPr="005D021C" w:rsidRDefault="00FD6FB5">
      <w:pPr>
        <w:jc w:val="center"/>
        <w:rPr>
          <w:b/>
          <w:sz w:val="44"/>
          <w:szCs w:val="44"/>
        </w:rPr>
      </w:pPr>
      <w:r w:rsidRPr="005D021C">
        <w:rPr>
          <w:b/>
          <w:sz w:val="44"/>
          <w:szCs w:val="44"/>
        </w:rPr>
        <w:lastRenderedPageBreak/>
        <w:t>APPENDIX III</w:t>
      </w:r>
    </w:p>
    <w:p w:rsidR="00FD6FB5" w:rsidRDefault="00FD6FB5">
      <w:pPr>
        <w:jc w:val="center"/>
        <w:rPr>
          <w:sz w:val="36"/>
        </w:rPr>
      </w:pPr>
    </w:p>
    <w:p w:rsidR="00FD6FB5" w:rsidRPr="005D021C" w:rsidRDefault="00FD6FB5">
      <w:pPr>
        <w:jc w:val="center"/>
        <w:rPr>
          <w:b/>
          <w:bCs/>
          <w:sz w:val="32"/>
          <w:szCs w:val="32"/>
        </w:rPr>
        <w:sectPr w:rsidR="00FD6FB5" w:rsidRPr="005D021C" w:rsidSect="005D021C">
          <w:pgSz w:w="12240" w:h="15840" w:code="1"/>
          <w:pgMar w:top="1440" w:right="1440" w:bottom="1440" w:left="1440" w:header="720" w:footer="806" w:gutter="0"/>
          <w:paperSrc w:first="7" w:other="7"/>
          <w:cols w:space="720"/>
          <w:vAlign w:val="center"/>
        </w:sectPr>
      </w:pPr>
      <w:r w:rsidRPr="005D021C">
        <w:rPr>
          <w:b/>
          <w:bCs/>
          <w:sz w:val="32"/>
          <w:szCs w:val="32"/>
        </w:rPr>
        <w:t>Emissions Conversion Spreadsheet</w:t>
      </w:r>
    </w:p>
    <w:p w:rsidR="00FD6FB5" w:rsidRDefault="004B68AE">
      <w:pPr>
        <w:jc w:val="center"/>
        <w:rPr>
          <w:sz w:val="36"/>
        </w:rPr>
        <w:sectPr w:rsidR="00FD6FB5" w:rsidSect="002366F4">
          <w:pgSz w:w="15840" w:h="12240" w:orient="landscape" w:code="1"/>
          <w:pgMar w:top="1440" w:right="994" w:bottom="1440" w:left="1440" w:header="720" w:footer="806" w:gutter="0"/>
          <w:paperSrc w:first="7" w:other="7"/>
          <w:cols w:space="720"/>
          <w:titlePg/>
        </w:sectPr>
      </w:pPr>
      <w:r>
        <w:rPr>
          <w:noProof/>
          <w:sz w:val="20"/>
        </w:rPr>
        <w:lastRenderedPageBreak/>
        <w:pict>
          <v:shape id="_x0000_s1027" type="#_x0000_t75" style="position:absolute;left:0;text-align:left;margin-left:0;margin-top:-55pt;width:635.65pt;height:586.35pt;z-index:251658240">
            <v:imagedata r:id="rId25" o:title=""/>
            <w10:wrap type="topAndBottom"/>
          </v:shape>
          <o:OLEObject Type="Embed" ProgID="Excel.Sheet.8" ShapeID="_x0000_s1027" DrawAspect="Content" ObjectID="_1456042742" r:id="rId26"/>
        </w:pict>
      </w:r>
    </w:p>
    <w:p w:rsidR="00FD6FB5" w:rsidRPr="005D021C" w:rsidRDefault="00FD6FB5">
      <w:pPr>
        <w:jc w:val="center"/>
        <w:rPr>
          <w:b/>
          <w:sz w:val="44"/>
          <w:szCs w:val="44"/>
        </w:rPr>
      </w:pPr>
      <w:r w:rsidRPr="005D021C">
        <w:rPr>
          <w:b/>
          <w:sz w:val="44"/>
          <w:szCs w:val="44"/>
        </w:rPr>
        <w:lastRenderedPageBreak/>
        <w:t>APPENDIX V</w:t>
      </w:r>
    </w:p>
    <w:p w:rsidR="00FD6FB5" w:rsidRDefault="00FD6FB5">
      <w:pPr>
        <w:jc w:val="center"/>
        <w:rPr>
          <w:sz w:val="36"/>
        </w:rPr>
      </w:pPr>
    </w:p>
    <w:p w:rsidR="00FD6FB5" w:rsidRPr="005D021C" w:rsidRDefault="005C5DAF">
      <w:pPr>
        <w:jc w:val="center"/>
        <w:rPr>
          <w:b/>
          <w:bCs/>
          <w:sz w:val="32"/>
          <w:szCs w:val="32"/>
        </w:rPr>
      </w:pPr>
      <w:r w:rsidRPr="005C5DAF">
        <w:rPr>
          <w:b/>
          <w:bCs/>
          <w:sz w:val="32"/>
          <w:szCs w:val="32"/>
        </w:rPr>
        <w:t>Emissions Profile</w:t>
      </w:r>
    </w:p>
    <w:p w:rsidR="00FD6FB5" w:rsidRDefault="00FD6FB5">
      <w:pPr>
        <w:jc w:val="center"/>
        <w:rPr>
          <w:b/>
          <w:bCs/>
          <w:i/>
          <w:iCs/>
          <w:sz w:val="28"/>
          <w:u w:val="single"/>
        </w:rPr>
        <w:sectPr w:rsidR="00FD6FB5" w:rsidSect="005D021C">
          <w:pgSz w:w="12240" w:h="15840" w:code="1"/>
          <w:pgMar w:top="1440" w:right="1440" w:bottom="1440" w:left="1440" w:header="720" w:footer="806" w:gutter="0"/>
          <w:paperSrc w:first="7" w:other="7"/>
          <w:cols w:space="720"/>
          <w:vAlign w:val="center"/>
        </w:sectPr>
      </w:pPr>
    </w:p>
    <w:p w:rsidR="00FD6FB5" w:rsidRDefault="00311576">
      <w:pPr>
        <w:jc w:val="center"/>
        <w:rPr>
          <w:b/>
          <w:bCs/>
          <w:i/>
          <w:iCs/>
          <w:sz w:val="36"/>
          <w:szCs w:val="36"/>
          <w:u w:val="single"/>
        </w:rPr>
      </w:pPr>
      <w:r w:rsidRPr="007009EE">
        <w:rPr>
          <w:b/>
          <w:bCs/>
          <w:i/>
          <w:iCs/>
          <w:sz w:val="36"/>
          <w:szCs w:val="36"/>
          <w:u w:val="single"/>
        </w:rPr>
        <w:lastRenderedPageBreak/>
        <w:t xml:space="preserve">ATC </w:t>
      </w:r>
      <w:r w:rsidR="00FD6FB5" w:rsidRPr="007009EE">
        <w:rPr>
          <w:b/>
          <w:bCs/>
          <w:i/>
          <w:iCs/>
          <w:sz w:val="36"/>
          <w:szCs w:val="36"/>
          <w:u w:val="single"/>
        </w:rPr>
        <w:t>Conditions</w:t>
      </w:r>
    </w:p>
    <w:p w:rsidR="002366F4" w:rsidRPr="005D021C" w:rsidRDefault="002366F4">
      <w:pPr>
        <w:jc w:val="center"/>
        <w:rPr>
          <w:color w:val="FF0000"/>
          <w:sz w:val="36"/>
          <w:szCs w:val="36"/>
        </w:rPr>
      </w:pPr>
      <w:r w:rsidRPr="005D021C">
        <w:rPr>
          <w:b/>
          <w:bCs/>
          <w:i/>
          <w:iCs/>
          <w:color w:val="FF0000"/>
          <w:sz w:val="36"/>
          <w:szCs w:val="36"/>
          <w:u w:val="single"/>
        </w:rPr>
        <w:t>(Do Not Include With Application Review)</w:t>
      </w:r>
    </w:p>
    <w:p w:rsidR="00FD6FB5" w:rsidRDefault="00FD6FB5">
      <w:pPr>
        <w:jc w:val="center"/>
        <w:rPr>
          <w:sz w:val="28"/>
        </w:rPr>
      </w:pPr>
    </w:p>
    <w:p w:rsidR="00FD6FB5" w:rsidRDefault="00FD6FB5">
      <w:pPr>
        <w:jc w:val="center"/>
        <w:rPr>
          <w:sz w:val="28"/>
        </w:rPr>
      </w:pPr>
    </w:p>
    <w:p w:rsidR="00FD6FB5" w:rsidRPr="008326F3" w:rsidRDefault="00DE6EED">
      <w:pPr>
        <w:tabs>
          <w:tab w:val="left" w:pos="240"/>
          <w:tab w:val="left" w:pos="1080"/>
        </w:tabs>
        <w:rPr>
          <w:b/>
          <w:color w:val="0000FF"/>
          <w:sz w:val="32"/>
          <w:szCs w:val="32"/>
          <w:u w:val="single"/>
        </w:rPr>
      </w:pPr>
      <w:r w:rsidRPr="008326F3">
        <w:rPr>
          <w:b/>
          <w:color w:val="0000FF"/>
          <w:sz w:val="32"/>
          <w:szCs w:val="32"/>
          <w:u w:val="single"/>
        </w:rPr>
        <w:t>IC Engines &lt; 50 Bhp</w:t>
      </w:r>
    </w:p>
    <w:p w:rsidR="00DE6EED" w:rsidRDefault="00DE6EED">
      <w:pPr>
        <w:tabs>
          <w:tab w:val="left" w:pos="240"/>
          <w:tab w:val="left" w:pos="1080"/>
        </w:tabs>
      </w:pPr>
    </w:p>
    <w:p w:rsidR="00FD6FB5" w:rsidRDefault="00FD6FB5">
      <w:pPr>
        <w:tabs>
          <w:tab w:val="left" w:pos="240"/>
          <w:tab w:val="left" w:pos="1080"/>
        </w:tabs>
      </w:pPr>
      <w:r>
        <w:t>{1420} The soil remediation system shall be maintained in proper operating condition at all times. [District Rule 2201] N</w:t>
      </w:r>
    </w:p>
    <w:p w:rsidR="00FD6FB5" w:rsidRDefault="00FD6FB5">
      <w:pPr>
        <w:tabs>
          <w:tab w:val="left" w:pos="240"/>
          <w:tab w:val="left" w:pos="1080"/>
        </w:tabs>
      </w:pPr>
      <w:r>
        <w:cr/>
        <w:t>{15} No air contaminant shall be discharged into the atmosphere for a period or periods aggregating more than three minutes in any one hour which is as dark as, or darker than, Ringelmann 1 or 20% opacity. [District Rule 4101] N</w:t>
      </w:r>
    </w:p>
    <w:p w:rsidR="00FD6FB5" w:rsidRDefault="00FD6FB5">
      <w:pPr>
        <w:tabs>
          <w:tab w:val="left" w:pos="240"/>
          <w:tab w:val="left" w:pos="1080"/>
        </w:tabs>
      </w:pPr>
      <w:r>
        <w:cr/>
        <w:t>{98} No air contaminant shall be released into the atmosphere which causes a public nuisance. [District Rule 4102] N</w:t>
      </w:r>
    </w:p>
    <w:p w:rsidR="00FD6FB5" w:rsidRDefault="00FD6FB5">
      <w:pPr>
        <w:tabs>
          <w:tab w:val="left" w:pos="240"/>
          <w:tab w:val="left" w:pos="1080"/>
        </w:tabs>
      </w:pPr>
      <w:r>
        <w:cr/>
        <w:t>{14} Particulate matter emissions shall not exceed 0.1 grains/dscf in concentration. [District Rule 4201] N</w:t>
      </w:r>
    </w:p>
    <w:p w:rsidR="00FD6FB5" w:rsidRDefault="00FD6FB5">
      <w:pPr>
        <w:tabs>
          <w:tab w:val="left" w:pos="240"/>
          <w:tab w:val="left" w:pos="1080"/>
        </w:tabs>
      </w:pPr>
      <w:r>
        <w:cr/>
        <w:t>{1431} Only liquefied petroleum gas or natural gas shall be used as auxiliary fuel for the combustion of VOC. [District Rule 2201] N</w:t>
      </w:r>
    </w:p>
    <w:p w:rsidR="00FD6FB5" w:rsidRDefault="00FD6FB5">
      <w:pPr>
        <w:tabs>
          <w:tab w:val="left" w:pos="240"/>
          <w:tab w:val="left" w:pos="1080"/>
        </w:tabs>
      </w:pPr>
      <w:r>
        <w:cr/>
        <w:t>The VOC control device shall be at least 95% efficient in controlling the VOC from the soil remediation project. [District Rule 2201] N</w:t>
      </w:r>
    </w:p>
    <w:p w:rsidR="00FD6FB5" w:rsidRDefault="00FD6FB5">
      <w:pPr>
        <w:tabs>
          <w:tab w:val="left" w:pos="240"/>
          <w:tab w:val="left" w:pos="1080"/>
        </w:tabs>
        <w:rPr>
          <w:b/>
          <w:bCs/>
        </w:rPr>
      </w:pPr>
    </w:p>
    <w:p w:rsidR="00FD6FB5" w:rsidRDefault="00FD6FB5">
      <w:pPr>
        <w:tabs>
          <w:tab w:val="left" w:pos="240"/>
          <w:tab w:val="left" w:pos="1080"/>
        </w:tabs>
        <w:rPr>
          <w:strike/>
        </w:rPr>
      </w:pPr>
      <w:r>
        <w:t xml:space="preserve">The emissions from the soil remediation system shall not exceed any of the following limits: 0.249 g-NOx/hp-hr (or </w:t>
      </w:r>
      <w:r>
        <w:rPr>
          <w:color w:val="0000FF"/>
        </w:rPr>
        <w:t xml:space="preserve">20.2 </w:t>
      </w:r>
      <w:r>
        <w:t>ppmv @ 15% O</w:t>
      </w:r>
      <w:r>
        <w:rPr>
          <w:vertAlign w:val="subscript"/>
        </w:rPr>
        <w:t>2</w:t>
      </w:r>
      <w:r>
        <w:t>), 9.957 g-CO/hp-hr (or 1,326.2</w:t>
      </w:r>
      <w:r>
        <w:rPr>
          <w:color w:val="0000FF"/>
        </w:rPr>
        <w:t xml:space="preserve"> </w:t>
      </w:r>
      <w:r>
        <w:t>ppmv @ 15% O2), 0.49 g-VOC/hp-hr (or 114.2</w:t>
      </w:r>
      <w:r>
        <w:rPr>
          <w:color w:val="0000FF"/>
        </w:rPr>
        <w:t xml:space="preserve"> </w:t>
      </w:r>
      <w:r>
        <w:t>ppmv @ 15% O2), 0.</w:t>
      </w:r>
      <w:r w:rsidR="00D4307F">
        <w:t>0577</w:t>
      </w:r>
      <w:r>
        <w:t xml:space="preserve"> g-SOx/hp-hr, or 0.327 g-PM</w:t>
      </w:r>
      <w:r>
        <w:rPr>
          <w:vertAlign w:val="subscript"/>
        </w:rPr>
        <w:t>10</w:t>
      </w:r>
      <w:r>
        <w:t>/hp-hr. [District Rule 2201]</w:t>
      </w:r>
    </w:p>
    <w:p w:rsidR="00FD6FB5" w:rsidRPr="00EA1806" w:rsidRDefault="00FD6FB5">
      <w:pPr>
        <w:tabs>
          <w:tab w:val="left" w:pos="240"/>
          <w:tab w:val="left" w:pos="1080"/>
        </w:tabs>
      </w:pPr>
      <w:r>
        <w:cr/>
      </w:r>
      <w:r w:rsidRPr="00EA1806">
        <w:t xml:space="preserve">{1444} The total VOC emission rate from the soil remediation system served by the internal combustion engine shall not exceed </w:t>
      </w:r>
      <w:r w:rsidRPr="005D021C">
        <w:rPr>
          <w:color w:val="0070C0"/>
        </w:rPr>
        <w:t>xxx</w:t>
      </w:r>
      <w:r w:rsidRPr="00EA1806">
        <w:t xml:space="preserve"> pounds in any one day. [District Rule 2201] N</w:t>
      </w:r>
    </w:p>
    <w:p w:rsidR="00FD6FB5" w:rsidRDefault="00FD6FB5">
      <w:pPr>
        <w:tabs>
          <w:tab w:val="left" w:pos="240"/>
          <w:tab w:val="left" w:pos="1080"/>
        </w:tabs>
      </w:pPr>
      <w:r>
        <w:cr/>
        <w:t>{1413} Sampling ports adequate for extraction of grab samples, measurement of gas flow rate, and use of an FID, PID, or other District-approved VOC detection device shall be provided for both the influent and the effluent gas streams. [District Rule 1081] N</w:t>
      </w:r>
    </w:p>
    <w:p w:rsidR="00FD6FB5" w:rsidRDefault="00FD6FB5">
      <w:pPr>
        <w:tabs>
          <w:tab w:val="left" w:pos="240"/>
          <w:tab w:val="left" w:pos="1080"/>
        </w:tabs>
      </w:pPr>
      <w:r>
        <w:cr/>
        <w:t>{1414} Laboratory samples shall be taken at the initial inspection, under the supervision of the APCD Inspector.  Samples shall be taken from both the influent and the effluent gas stream sampling ports. [District Rule 1081] N</w:t>
      </w:r>
    </w:p>
    <w:p w:rsidR="00FD6FB5" w:rsidRDefault="00FD6FB5">
      <w:r>
        <w:cr/>
        <w:t xml:space="preserve">Laboratory samples shall be analyzed for </w:t>
      </w:r>
      <w:r>
        <w:rPr>
          <w:color w:val="0000FF"/>
        </w:rPr>
        <w:t>[</w:t>
      </w:r>
      <w:r>
        <w:rPr>
          <w:i/>
          <w:iCs/>
          <w:color w:val="0000FF"/>
        </w:rPr>
        <w:t>TPH and BTEX</w:t>
      </w:r>
      <w:r>
        <w:rPr>
          <w:i/>
          <w:iCs/>
        </w:rPr>
        <w:t xml:space="preserve"> </w:t>
      </w:r>
      <w:r>
        <w:rPr>
          <w:i/>
          <w:iCs/>
          <w:color w:val="0000FF"/>
        </w:rPr>
        <w:t>or trichloroethylene (TCE) or perchloroethylene (PCE)]</w:t>
      </w:r>
      <w:r>
        <w:rPr>
          <w:i/>
          <w:iCs/>
        </w:rPr>
        <w:t>.</w:t>
      </w:r>
      <w:r>
        <w:t xml:space="preserve"> [District Rule 2201] N</w:t>
      </w:r>
    </w:p>
    <w:p w:rsidR="00FD6FB5" w:rsidRDefault="00FD6FB5">
      <w:pPr>
        <w:tabs>
          <w:tab w:val="left" w:pos="240"/>
          <w:tab w:val="left" w:pos="1080"/>
        </w:tabs>
      </w:pPr>
      <w:r>
        <w:lastRenderedPageBreak/>
        <w:cr/>
        <w:t>{1416} Measurements to determine the influent and the effluent gas flow rates shall be taken at the initial inspection.  Flow rate calculations shall be submitted to the District along with the laboratory sample analysis results. [District Rule 1081] N</w:t>
      </w:r>
    </w:p>
    <w:p w:rsidR="00FD6FB5" w:rsidRDefault="00FD6FB5">
      <w:pPr>
        <w:tabs>
          <w:tab w:val="left" w:pos="240"/>
          <w:tab w:val="left" w:pos="1080"/>
        </w:tabs>
      </w:pPr>
      <w:r>
        <w:cr/>
        <w:t>{1417} Initial compliance with VOC emission rate and control efficiency requirements shall be demonstrated by the results of the laboratory sample analysis.  The results shall be submitted to the District within 60 days of the test. [District Rule 1081] N</w:t>
      </w:r>
    </w:p>
    <w:p w:rsidR="00FD6FB5" w:rsidRDefault="00FD6FB5">
      <w:pPr>
        <w:tabs>
          <w:tab w:val="left" w:pos="240"/>
          <w:tab w:val="left" w:pos="1080"/>
        </w:tabs>
        <w:rPr>
          <w:b/>
          <w:bCs/>
          <w:highlight w:val="yellow"/>
        </w:rPr>
      </w:pPr>
      <w:r>
        <w:cr/>
        <w:t xml:space="preserve">Sampling to demonstrate ongoing </w:t>
      </w:r>
      <w:r w:rsidR="008B2F73">
        <w:t>compliance with</w:t>
      </w:r>
      <w:r>
        <w:t xml:space="preserve"> the VOC emission rate and control efficiency requirements shall be performed at least once per week by sampling both the influent and the effluent gas streams with an FID, PID, or other District-approved VOC detection device.</w:t>
      </w:r>
      <w:r>
        <w:rPr>
          <w:b/>
          <w:bCs/>
        </w:rPr>
        <w:t xml:space="preserve">  </w:t>
      </w:r>
      <w:r>
        <w:t>[District Rule 1081] N</w:t>
      </w:r>
    </w:p>
    <w:p w:rsidR="00FD6FB5" w:rsidRDefault="00FD6FB5">
      <w:pPr>
        <w:tabs>
          <w:tab w:val="left" w:pos="240"/>
          <w:tab w:val="left" w:pos="1080"/>
        </w:tabs>
        <w:rPr>
          <w:b/>
          <w:bCs/>
          <w:highlight w:val="yellow"/>
        </w:rPr>
      </w:pPr>
    </w:p>
    <w:p w:rsidR="00FD6FB5" w:rsidRDefault="00FD6FB5">
      <w:pPr>
        <w:tabs>
          <w:tab w:val="left" w:pos="240"/>
          <w:tab w:val="left" w:pos="1080"/>
        </w:tabs>
      </w:pPr>
      <w:r>
        <w:t>If the uncontrolled VOC emission rate is below 2 lb/day, as demonstrated by five consecutive weekly samples, the control device may be taken off-line and sampling shall only be performed on a monthly basis to continuously demonstrate that the uncontrolled VOC emissions are below 2 lb/day.</w:t>
      </w:r>
      <w:r>
        <w:rPr>
          <w:b/>
          <w:bCs/>
        </w:rPr>
        <w:t xml:space="preserve">  </w:t>
      </w:r>
      <w:r>
        <w:t xml:space="preserve">[District Rule 1081] N </w:t>
      </w:r>
    </w:p>
    <w:p w:rsidR="00FD6FB5" w:rsidRDefault="00FD6FB5">
      <w:pPr>
        <w:tabs>
          <w:tab w:val="left" w:pos="240"/>
          <w:tab w:val="left" w:pos="1080"/>
        </w:tabs>
      </w:pPr>
      <w:r>
        <w:cr/>
        <w:t>{1425} Records of the cumulative running time and the measured influent and effluent VOC concentrations shall be maintained. [District Rule 2201] N</w:t>
      </w:r>
    </w:p>
    <w:p w:rsidR="00FD6FB5" w:rsidRDefault="00FD6FB5">
      <w:pPr>
        <w:tabs>
          <w:tab w:val="left" w:pos="240"/>
          <w:tab w:val="left" w:pos="1080"/>
        </w:tabs>
      </w:pPr>
      <w:r>
        <w:cr/>
        <w:t>{2780} All records shall be retained for a minimum of five years, and shall be made available for District inspection upon request. [District Rule 2201] N</w:t>
      </w:r>
    </w:p>
    <w:p w:rsidR="00FD6FB5" w:rsidRDefault="00FD6FB5">
      <w:pPr>
        <w:tabs>
          <w:tab w:val="left" w:pos="240"/>
          <w:tab w:val="left" w:pos="1080"/>
        </w:tabs>
        <w:rPr>
          <w:b/>
          <w:bCs/>
        </w:rPr>
      </w:pPr>
    </w:p>
    <w:p w:rsidR="00FD6FB5" w:rsidRPr="008326F3" w:rsidRDefault="00D33ADF">
      <w:pPr>
        <w:pStyle w:val="Heading2"/>
        <w:rPr>
          <w:color w:val="0000FF"/>
          <w:sz w:val="32"/>
          <w:szCs w:val="32"/>
          <w:u w:val="single"/>
        </w:rPr>
      </w:pPr>
      <w:r w:rsidRPr="008326F3">
        <w:rPr>
          <w:color w:val="0000FF"/>
          <w:sz w:val="32"/>
          <w:szCs w:val="32"/>
          <w:u w:val="single"/>
        </w:rPr>
        <w:t>Registered P</w:t>
      </w:r>
      <w:r w:rsidR="00FD6FB5" w:rsidRPr="008326F3">
        <w:rPr>
          <w:color w:val="0000FF"/>
          <w:sz w:val="32"/>
          <w:szCs w:val="32"/>
          <w:u w:val="single"/>
        </w:rPr>
        <w:t>ortable Engine</w:t>
      </w:r>
    </w:p>
    <w:p w:rsidR="00FD6FB5" w:rsidRDefault="00FD6FB5">
      <w:pPr>
        <w:tabs>
          <w:tab w:val="left" w:pos="240"/>
          <w:tab w:val="left" w:pos="1080"/>
        </w:tabs>
      </w:pPr>
    </w:p>
    <w:p w:rsidR="00FD6FB5" w:rsidRDefault="00FD6FB5">
      <w:pPr>
        <w:tabs>
          <w:tab w:val="left" w:pos="240"/>
          <w:tab w:val="left" w:pos="1080"/>
        </w:tabs>
      </w:pPr>
      <w:r>
        <w:t>{1420} The soil remediation system shall be maintained in proper operating condition at all times. [District Rule 2201] N</w:t>
      </w:r>
    </w:p>
    <w:p w:rsidR="00FD6FB5" w:rsidRDefault="00FD6FB5">
      <w:pPr>
        <w:tabs>
          <w:tab w:val="left" w:pos="240"/>
          <w:tab w:val="left" w:pos="1080"/>
        </w:tabs>
      </w:pPr>
      <w:r>
        <w:cr/>
        <w:t>{15} No air contaminant shall be discharged into the atmosphere for a period or periods aggregating more than three minutes in any one hour which is as dark as, or darker than, Ringelmann 1 or 20% opacity. [District Rule 4101] N</w:t>
      </w:r>
    </w:p>
    <w:p w:rsidR="00FD6FB5" w:rsidRDefault="00FD6FB5">
      <w:pPr>
        <w:tabs>
          <w:tab w:val="left" w:pos="240"/>
          <w:tab w:val="left" w:pos="1080"/>
        </w:tabs>
      </w:pPr>
      <w:r>
        <w:cr/>
        <w:t>{98} No air contaminant shall be released into the atmosphere which causes a public nuisance. [District Rule 4102] N</w:t>
      </w:r>
    </w:p>
    <w:p w:rsidR="00FD6FB5" w:rsidRDefault="00FD6FB5">
      <w:pPr>
        <w:tabs>
          <w:tab w:val="left" w:pos="240"/>
          <w:tab w:val="left" w:pos="1080"/>
        </w:tabs>
      </w:pPr>
      <w:r>
        <w:cr/>
        <w:t>{14} Particulate matter emissions shall not exceed 0.1 grains/dscf in concentration. [District Rule 4201] N</w:t>
      </w:r>
    </w:p>
    <w:p w:rsidR="00FD6FB5" w:rsidRDefault="00FD6FB5">
      <w:pPr>
        <w:tabs>
          <w:tab w:val="left" w:pos="240"/>
          <w:tab w:val="left" w:pos="1080"/>
        </w:tabs>
      </w:pPr>
      <w:r>
        <w:cr/>
        <w:t>{1431} Only liquefied petroleum gas or natural gas shall be used as auxiliary fuel for the combustion of VOC. [District Rule 2201] N</w:t>
      </w:r>
    </w:p>
    <w:p w:rsidR="00FD6FB5" w:rsidRDefault="00FD6FB5">
      <w:pPr>
        <w:tabs>
          <w:tab w:val="left" w:pos="240"/>
          <w:tab w:val="left" w:pos="1080"/>
        </w:tabs>
      </w:pPr>
      <w:r>
        <w:cr/>
        <w:t>The VOC control device shall be at least 95% efficient in controlling the VOC from the soil remediation project. [District Rule 2201] N</w:t>
      </w:r>
    </w:p>
    <w:p w:rsidR="00FD6FB5" w:rsidRDefault="00FD6FB5">
      <w:pPr>
        <w:tabs>
          <w:tab w:val="left" w:pos="240"/>
          <w:tab w:val="left" w:pos="1080"/>
        </w:tabs>
      </w:pPr>
      <w:r>
        <w:lastRenderedPageBreak/>
        <w:cr/>
        <w:t xml:space="preserve">The emissions from the soil remediation system shall not exceed any of the following limits: 0.249 g-NOx/hp-hr (or </w:t>
      </w:r>
      <w:r>
        <w:rPr>
          <w:color w:val="0000FF"/>
        </w:rPr>
        <w:t xml:space="preserve">20.2 </w:t>
      </w:r>
      <w:r>
        <w:t>ppmv @ 15% O</w:t>
      </w:r>
      <w:r>
        <w:rPr>
          <w:vertAlign w:val="subscript"/>
        </w:rPr>
        <w:t>2</w:t>
      </w:r>
      <w:r>
        <w:t>), 9.957 g-CO/hp-hr (or 1,326.2</w:t>
      </w:r>
      <w:r>
        <w:rPr>
          <w:color w:val="0000FF"/>
        </w:rPr>
        <w:t xml:space="preserve"> </w:t>
      </w:r>
      <w:r>
        <w:t>ppmv @ 15% O2), 0.49 g-VOC/hp-hr (or 114.2</w:t>
      </w:r>
      <w:r>
        <w:rPr>
          <w:color w:val="0000FF"/>
        </w:rPr>
        <w:t xml:space="preserve"> </w:t>
      </w:r>
      <w:r>
        <w:t>ppmv @ 15% O2), 0.</w:t>
      </w:r>
      <w:r w:rsidR="00D4307F">
        <w:t>0577</w:t>
      </w:r>
      <w:r>
        <w:t xml:space="preserve"> g-SOx/hp-hr, or 0.327 g-PM</w:t>
      </w:r>
      <w:r>
        <w:rPr>
          <w:vertAlign w:val="subscript"/>
        </w:rPr>
        <w:t>10</w:t>
      </w:r>
      <w:r>
        <w:t>/hp-hr. [District Rule 2201]</w:t>
      </w:r>
    </w:p>
    <w:p w:rsidR="00FD6FB5" w:rsidRPr="005D021C" w:rsidRDefault="00FD6FB5">
      <w:pPr>
        <w:tabs>
          <w:tab w:val="left" w:pos="240"/>
          <w:tab w:val="left" w:pos="1080"/>
        </w:tabs>
      </w:pPr>
      <w:r>
        <w:cr/>
      </w:r>
      <w:r w:rsidRPr="00EA1806">
        <w:t xml:space="preserve">{1444} The total VOC emission rate from the soil remediation system served by the internal combustion engine shall not exceed </w:t>
      </w:r>
      <w:r w:rsidRPr="005D021C">
        <w:rPr>
          <w:color w:val="0070C0"/>
        </w:rPr>
        <w:t>xxx</w:t>
      </w:r>
      <w:r w:rsidRPr="00EA1806">
        <w:t xml:space="preserve"> pounds in any one day. [District Rule 2201]</w:t>
      </w:r>
      <w:r w:rsidRPr="005D021C">
        <w:t xml:space="preserve"> N</w:t>
      </w:r>
    </w:p>
    <w:p w:rsidR="00FD6FB5" w:rsidRDefault="00FD6FB5">
      <w:pPr>
        <w:tabs>
          <w:tab w:val="left" w:pos="240"/>
          <w:tab w:val="left" w:pos="1080"/>
        </w:tabs>
      </w:pPr>
      <w:r>
        <w:cr/>
        <w:t>{1413} Sampling ports adequate for extraction of grab samples, measurement of gas flow rate, and use of an FID, PID, or other District-approved VOC detection device shall be provided for both the influent and the effluent gas streams. [District Rule 1081] N</w:t>
      </w:r>
    </w:p>
    <w:p w:rsidR="00FD6FB5" w:rsidRDefault="00FD6FB5">
      <w:pPr>
        <w:tabs>
          <w:tab w:val="left" w:pos="240"/>
          <w:tab w:val="left" w:pos="1080"/>
        </w:tabs>
      </w:pPr>
      <w:r>
        <w:cr/>
        <w:t>{1414} Laboratory samples shall be taken at the initial inspection, under the supervision of the APCD Inspector.  Samples shall be taken from both the influent and the effluent gas stream sampling ports. [District Rule 1081] N</w:t>
      </w:r>
    </w:p>
    <w:p w:rsidR="00FD6FB5" w:rsidRDefault="00FD6FB5">
      <w:r>
        <w:cr/>
        <w:t xml:space="preserve">Laboratory samples shall be analyzed for </w:t>
      </w:r>
      <w:r>
        <w:rPr>
          <w:color w:val="0000FF"/>
        </w:rPr>
        <w:t>[</w:t>
      </w:r>
      <w:r>
        <w:rPr>
          <w:i/>
          <w:iCs/>
          <w:color w:val="0000FF"/>
        </w:rPr>
        <w:t>TPH and BTEX</w:t>
      </w:r>
      <w:r>
        <w:rPr>
          <w:i/>
          <w:iCs/>
        </w:rPr>
        <w:t xml:space="preserve"> </w:t>
      </w:r>
      <w:r>
        <w:rPr>
          <w:i/>
          <w:iCs/>
          <w:color w:val="0000FF"/>
        </w:rPr>
        <w:t>or trichloroethylene (TCE) or perchloroethylene (PCE)]</w:t>
      </w:r>
      <w:r>
        <w:rPr>
          <w:i/>
          <w:iCs/>
        </w:rPr>
        <w:t>.</w:t>
      </w:r>
      <w:r>
        <w:t xml:space="preserve"> [District Rule 2201] N</w:t>
      </w:r>
    </w:p>
    <w:p w:rsidR="00FD6FB5" w:rsidRDefault="00FD6FB5">
      <w:pPr>
        <w:tabs>
          <w:tab w:val="left" w:pos="240"/>
          <w:tab w:val="left" w:pos="1080"/>
        </w:tabs>
      </w:pPr>
      <w:r>
        <w:cr/>
        <w:t>{1416} Measurements to determine the influent and the effluent gas flow rates shall be taken at the initial inspection.  Flow rate calculations shall be submitted to the District along with the laboratory sample analysis results. [District Rule 1081] N</w:t>
      </w:r>
    </w:p>
    <w:p w:rsidR="00FD6FB5" w:rsidRDefault="00FD6FB5">
      <w:pPr>
        <w:tabs>
          <w:tab w:val="left" w:pos="240"/>
          <w:tab w:val="left" w:pos="1080"/>
        </w:tabs>
      </w:pPr>
      <w:r>
        <w:cr/>
        <w:t>{1417} Initial compliance with VOC emission rate and control efficiency requirements shall be demonstrated by the results of the laboratory sample analysis.  The results shall be submitted to the District within 60 days of the test. [District Rule 1081] N</w:t>
      </w:r>
    </w:p>
    <w:p w:rsidR="00FD6FB5" w:rsidRDefault="00FD6FB5">
      <w:pPr>
        <w:tabs>
          <w:tab w:val="left" w:pos="240"/>
          <w:tab w:val="left" w:pos="1080"/>
        </w:tabs>
        <w:rPr>
          <w:b/>
          <w:bCs/>
          <w:highlight w:val="yellow"/>
        </w:rPr>
      </w:pPr>
      <w:r>
        <w:cr/>
        <w:t xml:space="preserve">Sampling to demonstrate ongoing </w:t>
      </w:r>
      <w:r w:rsidR="008B2F73">
        <w:t>compliance with</w:t>
      </w:r>
      <w:r>
        <w:t xml:space="preserve"> the VOC emission rate and control efficiency requirements shall be performed at least once per week by sampling both the influent and the effluent gas streams with an FID, PID, or other District-approved VOC detection device.</w:t>
      </w:r>
      <w:r w:rsidR="00602F4B" w:rsidRPr="00602F4B">
        <w:t xml:space="preserve"> </w:t>
      </w:r>
      <w:r w:rsidR="00602F4B">
        <w:t>[District Rule 2201] N</w:t>
      </w:r>
      <w:r>
        <w:rPr>
          <w:b/>
          <w:bCs/>
          <w:highlight w:val="yellow"/>
        </w:rPr>
        <w:t xml:space="preserve"> </w:t>
      </w:r>
    </w:p>
    <w:p w:rsidR="00FD6FB5" w:rsidRDefault="00FD6FB5">
      <w:pPr>
        <w:tabs>
          <w:tab w:val="left" w:pos="240"/>
          <w:tab w:val="left" w:pos="1080"/>
        </w:tabs>
        <w:rPr>
          <w:b/>
          <w:bCs/>
          <w:highlight w:val="yellow"/>
        </w:rPr>
      </w:pPr>
    </w:p>
    <w:p w:rsidR="00FD6FB5" w:rsidRDefault="00FD6FB5">
      <w:pPr>
        <w:tabs>
          <w:tab w:val="left" w:pos="240"/>
          <w:tab w:val="left" w:pos="1080"/>
        </w:tabs>
      </w:pPr>
      <w:r>
        <w:t xml:space="preserve">If the uncontrolled VOC emission rate is below 2 </w:t>
      </w:r>
      <w:r w:rsidR="000F7376">
        <w:t>lbs</w:t>
      </w:r>
      <w:r>
        <w:t xml:space="preserve">/day, as demonstrated by five consecutive weekly samples, the control device may be taken off-line and sampling shall only be performed on a monthly basis to continuously demonstrate that the uncontrolled VOC emissions are below 2 </w:t>
      </w:r>
      <w:r w:rsidR="000F7376">
        <w:t>lbs</w:t>
      </w:r>
      <w:r>
        <w:t xml:space="preserve">/day. [District Rule 1081] N </w:t>
      </w:r>
    </w:p>
    <w:p w:rsidR="00FD6FB5" w:rsidRDefault="00FD6FB5">
      <w:pPr>
        <w:tabs>
          <w:tab w:val="left" w:pos="240"/>
          <w:tab w:val="left" w:pos="1080"/>
        </w:tabs>
      </w:pPr>
      <w:r>
        <w:cr/>
        <w:t>{1425} Records of the cumulative running time and the measured influent and effluent VOC concentrations shall be maintained. [District Rule 2201] N</w:t>
      </w:r>
    </w:p>
    <w:p w:rsidR="00FD6FB5" w:rsidRDefault="00FD6FB5">
      <w:pPr>
        <w:tabs>
          <w:tab w:val="left" w:pos="240"/>
          <w:tab w:val="left" w:pos="1080"/>
        </w:tabs>
      </w:pPr>
      <w:r>
        <w:cr/>
        <w:t>{2863} The internal combustion engine shall not remain at any one location for more than 12 consecutive months. [District Rule 470</w:t>
      </w:r>
      <w:r w:rsidR="00602F4B">
        <w:t>2</w:t>
      </w:r>
      <w:r>
        <w:t>] N</w:t>
      </w:r>
    </w:p>
    <w:p w:rsidR="00FD6FB5" w:rsidRDefault="00FD6FB5">
      <w:pPr>
        <w:tabs>
          <w:tab w:val="left" w:pos="240"/>
          <w:tab w:val="left" w:pos="1080"/>
        </w:tabs>
      </w:pPr>
      <w:r>
        <w:cr/>
        <w:t xml:space="preserve">{2864} The permittee shall notify the District Compliance Division of each location at </w:t>
      </w:r>
      <w:r>
        <w:lastRenderedPageBreak/>
        <w:t>which the equipment is located in excess of 24 hours.  Such notification shall be made no later than 2 weeks prior to starting operation at the location. [District Rules 1070 and 2201] N</w:t>
      </w:r>
    </w:p>
    <w:p w:rsidR="00FD6FB5" w:rsidRDefault="00FD6FB5">
      <w:pPr>
        <w:tabs>
          <w:tab w:val="left" w:pos="240"/>
          <w:tab w:val="left" w:pos="1080"/>
        </w:tabs>
      </w:pPr>
      <w:r>
        <w:cr/>
        <w:t>{2865} The permittee shall maintain daily records of the locations at which the equipment was operated, the dates the equipment operated at each location, the distance from the internal combustion engine's exhaust stack to the nearest receptor (i.e. business, residence, etc.) at each location, the daily VOC emissions at each location, and the cumulative annual VOC emissions. [District Rules 1070, 2201, and 4102] N</w:t>
      </w:r>
    </w:p>
    <w:p w:rsidR="00FD6FB5" w:rsidRDefault="00FD6FB5">
      <w:pPr>
        <w:tabs>
          <w:tab w:val="left" w:pos="240"/>
          <w:tab w:val="left" w:pos="1080"/>
        </w:tabs>
      </w:pPr>
      <w:r>
        <w:cr/>
        <w:t>{2780} All records shall be retained for a minimum of five years, and shall be made available for District inspection upon request. [District Rule 2201] N</w:t>
      </w:r>
    </w:p>
    <w:p w:rsidR="00FD6FB5" w:rsidRDefault="00FD6FB5">
      <w:pPr>
        <w:tabs>
          <w:tab w:val="left" w:pos="240"/>
          <w:tab w:val="left" w:pos="1080"/>
        </w:tabs>
      </w:pPr>
    </w:p>
    <w:p w:rsidR="00FD6FB5" w:rsidRPr="008326F3" w:rsidRDefault="00FD6FB5">
      <w:pPr>
        <w:tabs>
          <w:tab w:val="left" w:pos="240"/>
          <w:tab w:val="left" w:pos="1080"/>
        </w:tabs>
        <w:rPr>
          <w:b/>
          <w:bCs/>
          <w:color w:val="0000FF"/>
          <w:sz w:val="32"/>
          <w:szCs w:val="32"/>
          <w:u w:val="single"/>
        </w:rPr>
      </w:pPr>
      <w:r w:rsidRPr="008326F3">
        <w:rPr>
          <w:b/>
          <w:bCs/>
          <w:color w:val="0000FF"/>
          <w:sz w:val="32"/>
          <w:szCs w:val="32"/>
          <w:u w:val="single"/>
        </w:rPr>
        <w:t xml:space="preserve">&lt; </w:t>
      </w:r>
      <w:r w:rsidR="00D33ADF" w:rsidRPr="008326F3">
        <w:rPr>
          <w:b/>
          <w:bCs/>
          <w:color w:val="0000FF"/>
          <w:sz w:val="32"/>
          <w:szCs w:val="32"/>
          <w:u w:val="single"/>
        </w:rPr>
        <w:t>2</w:t>
      </w:r>
      <w:r w:rsidRPr="008326F3">
        <w:rPr>
          <w:b/>
          <w:bCs/>
          <w:color w:val="0000FF"/>
          <w:sz w:val="32"/>
          <w:szCs w:val="32"/>
          <w:u w:val="single"/>
        </w:rPr>
        <w:t xml:space="preserve">00 </w:t>
      </w:r>
      <w:r w:rsidR="00DE6EED" w:rsidRPr="008326F3">
        <w:rPr>
          <w:b/>
          <w:bCs/>
          <w:color w:val="0000FF"/>
          <w:sz w:val="32"/>
          <w:szCs w:val="32"/>
          <w:u w:val="single"/>
        </w:rPr>
        <w:t>H</w:t>
      </w:r>
      <w:r w:rsidRPr="008326F3">
        <w:rPr>
          <w:b/>
          <w:bCs/>
          <w:color w:val="0000FF"/>
          <w:sz w:val="32"/>
          <w:szCs w:val="32"/>
          <w:u w:val="single"/>
        </w:rPr>
        <w:t>ours Operation</w:t>
      </w:r>
    </w:p>
    <w:p w:rsidR="00FD6FB5" w:rsidRDefault="00FD6FB5">
      <w:pPr>
        <w:tabs>
          <w:tab w:val="left" w:pos="240"/>
          <w:tab w:val="left" w:pos="1080"/>
        </w:tabs>
      </w:pPr>
    </w:p>
    <w:p w:rsidR="00FD6FB5" w:rsidRDefault="00FD6FB5">
      <w:pPr>
        <w:tabs>
          <w:tab w:val="left" w:pos="240"/>
          <w:tab w:val="left" w:pos="1080"/>
        </w:tabs>
      </w:pPr>
      <w:r>
        <w:t>{1420} The soil remediation system shall be maintained in proper operating condition at all times. [District Rule 2201] N</w:t>
      </w:r>
    </w:p>
    <w:p w:rsidR="00FD6FB5" w:rsidRDefault="00FD6FB5">
      <w:pPr>
        <w:tabs>
          <w:tab w:val="left" w:pos="240"/>
          <w:tab w:val="left" w:pos="1080"/>
        </w:tabs>
      </w:pPr>
      <w:r>
        <w:cr/>
        <w:t>{15} No air contaminant shall be discharged into the atmosphere for a period or periods aggregating more than three minutes in any one hour which is as dark as, or darker than, Ringelmann 1 or 20% opacity. [District Rule 4101] N</w:t>
      </w:r>
    </w:p>
    <w:p w:rsidR="00FD6FB5" w:rsidRDefault="00FD6FB5">
      <w:pPr>
        <w:tabs>
          <w:tab w:val="left" w:pos="240"/>
          <w:tab w:val="left" w:pos="1080"/>
        </w:tabs>
      </w:pPr>
      <w:r>
        <w:cr/>
        <w:t>{98} No air contaminant shall be released into the atmosphere which causes a public nuisance. [District Rule 4102] N</w:t>
      </w:r>
    </w:p>
    <w:p w:rsidR="00FD6FB5" w:rsidRDefault="00FD6FB5">
      <w:pPr>
        <w:tabs>
          <w:tab w:val="left" w:pos="240"/>
          <w:tab w:val="left" w:pos="1080"/>
        </w:tabs>
      </w:pPr>
      <w:r>
        <w:cr/>
        <w:t>{14} Particulate matter emissions shall not exceed 0.1 grains/dscf in concentration. [District Rule 4201] N</w:t>
      </w:r>
    </w:p>
    <w:p w:rsidR="00FD6FB5" w:rsidRDefault="00FD6FB5">
      <w:pPr>
        <w:tabs>
          <w:tab w:val="left" w:pos="240"/>
          <w:tab w:val="left" w:pos="1080"/>
        </w:tabs>
      </w:pPr>
      <w:r>
        <w:cr/>
        <w:t>{1431} Only liquefied petroleum gas or natural gas shall be used as auxiliary fuel for the combustion of VOC. [District Rule 2201] N</w:t>
      </w:r>
    </w:p>
    <w:p w:rsidR="00FD6FB5" w:rsidRDefault="00FD6FB5">
      <w:pPr>
        <w:tabs>
          <w:tab w:val="left" w:pos="240"/>
          <w:tab w:val="left" w:pos="1080"/>
        </w:tabs>
        <w:rPr>
          <w:highlight w:val="yellow"/>
        </w:rPr>
      </w:pPr>
      <w:r>
        <w:cr/>
        <w:t>The VOC control device shall be at least 95% efficient in controlling the VOC from the soil remediation project. [District Rule 2201] N</w:t>
      </w:r>
    </w:p>
    <w:p w:rsidR="00FD6FB5" w:rsidRDefault="00FD6FB5">
      <w:pPr>
        <w:tabs>
          <w:tab w:val="left" w:pos="240"/>
          <w:tab w:val="left" w:pos="1080"/>
        </w:tabs>
      </w:pPr>
      <w:r>
        <w:rPr>
          <w:highlight w:val="yellow"/>
        </w:rPr>
        <w:cr/>
      </w:r>
      <w:r>
        <w:t xml:space="preserve">The emissions from the soil remediation system shall not exceed any of the following limits: 0.249 g-NOx/hp-hr (or </w:t>
      </w:r>
      <w:r>
        <w:rPr>
          <w:color w:val="0000FF"/>
        </w:rPr>
        <w:t xml:space="preserve">20.2 </w:t>
      </w:r>
      <w:r>
        <w:t>ppmv @ 15% O</w:t>
      </w:r>
      <w:r>
        <w:rPr>
          <w:vertAlign w:val="subscript"/>
        </w:rPr>
        <w:t>2</w:t>
      </w:r>
      <w:r>
        <w:t>), 9.957 g-CO/hp-hr (or 1,326.2</w:t>
      </w:r>
      <w:r>
        <w:rPr>
          <w:color w:val="0000FF"/>
        </w:rPr>
        <w:t xml:space="preserve"> </w:t>
      </w:r>
      <w:r>
        <w:t>ppmv @ 15% O2), 0.49 g-VOC/hp-hr (or 114.2</w:t>
      </w:r>
      <w:r>
        <w:rPr>
          <w:color w:val="0000FF"/>
        </w:rPr>
        <w:t xml:space="preserve"> </w:t>
      </w:r>
      <w:r>
        <w:t>ppmv @ 15% O2), 0.</w:t>
      </w:r>
      <w:r w:rsidR="00D4307F">
        <w:t>0577</w:t>
      </w:r>
      <w:r>
        <w:t xml:space="preserve"> g-SOx/hp-hr, or 0.327 g-PM</w:t>
      </w:r>
      <w:r>
        <w:rPr>
          <w:vertAlign w:val="subscript"/>
        </w:rPr>
        <w:t>10</w:t>
      </w:r>
      <w:r>
        <w:t>/hp-hr. [District Rule 2201]</w:t>
      </w:r>
    </w:p>
    <w:p w:rsidR="00FD6FB5" w:rsidRPr="00EA1806" w:rsidRDefault="00FD6FB5">
      <w:pPr>
        <w:tabs>
          <w:tab w:val="left" w:pos="240"/>
          <w:tab w:val="left" w:pos="1080"/>
        </w:tabs>
      </w:pPr>
      <w:r>
        <w:cr/>
      </w:r>
      <w:r w:rsidRPr="00EA1806">
        <w:t xml:space="preserve">{1444} The total VOC emission rate from the soil remediation system served by the internal combustion engine shall not exceed </w:t>
      </w:r>
      <w:r w:rsidRPr="005D021C">
        <w:rPr>
          <w:color w:val="0070C0"/>
        </w:rPr>
        <w:t>xxx</w:t>
      </w:r>
      <w:r w:rsidRPr="00EA1806">
        <w:t xml:space="preserve"> pounds in any one day. [District Rule 2201] N</w:t>
      </w:r>
    </w:p>
    <w:p w:rsidR="00FD6FB5" w:rsidRDefault="00FD6FB5">
      <w:pPr>
        <w:tabs>
          <w:tab w:val="left" w:pos="240"/>
          <w:tab w:val="left" w:pos="1080"/>
        </w:tabs>
      </w:pPr>
      <w:r>
        <w:cr/>
        <w:t xml:space="preserve">{2866} The engine is limited to no more than </w:t>
      </w:r>
      <w:r w:rsidR="00D33ADF">
        <w:t>2</w:t>
      </w:r>
      <w:r>
        <w:t xml:space="preserve">00 hours in any one calendar year, and </w:t>
      </w:r>
      <w:r>
        <w:lastRenderedPageBreak/>
        <w:t>shall be equipped with a non-resettable totalizing hour meter. [District Rule 2201 and 470</w:t>
      </w:r>
      <w:r w:rsidR="00D33ADF">
        <w:t>2</w:t>
      </w:r>
      <w:r>
        <w:t>] N</w:t>
      </w:r>
    </w:p>
    <w:p w:rsidR="00FD6FB5" w:rsidRDefault="00FD6FB5">
      <w:pPr>
        <w:tabs>
          <w:tab w:val="left" w:pos="240"/>
          <w:tab w:val="left" w:pos="1080"/>
        </w:tabs>
      </w:pPr>
      <w:r>
        <w:cr/>
        <w:t>{1413} Sampling ports adequate for extraction of grab samples, measurement of gas flow rate, and use of an FID, PID, or other District-approved VOC detection device shall be provided for both the influent and the effluent gas streams. [District Rule 1081] N</w:t>
      </w:r>
    </w:p>
    <w:p w:rsidR="00FD6FB5" w:rsidRDefault="00FD6FB5">
      <w:pPr>
        <w:tabs>
          <w:tab w:val="left" w:pos="240"/>
          <w:tab w:val="left" w:pos="1080"/>
        </w:tabs>
      </w:pPr>
      <w:r>
        <w:cr/>
        <w:t>{1414} Laboratory samples shall be taken at the initial inspection, under the supervision of the APCD Inspector.  Samples shall be taken from both the influent and the effluent gas stream sampling ports. [District Rule 1081] N</w:t>
      </w:r>
    </w:p>
    <w:p w:rsidR="00FD6FB5" w:rsidRDefault="00FD6FB5">
      <w:r>
        <w:cr/>
        <w:t xml:space="preserve">Laboratory samples shall be analyzed for </w:t>
      </w:r>
      <w:r>
        <w:rPr>
          <w:color w:val="0000FF"/>
        </w:rPr>
        <w:t>[</w:t>
      </w:r>
      <w:r>
        <w:rPr>
          <w:i/>
          <w:iCs/>
          <w:color w:val="0000FF"/>
        </w:rPr>
        <w:t>TPH and BTEX</w:t>
      </w:r>
      <w:r>
        <w:rPr>
          <w:i/>
          <w:iCs/>
        </w:rPr>
        <w:t xml:space="preserve"> </w:t>
      </w:r>
      <w:r>
        <w:rPr>
          <w:i/>
          <w:iCs/>
          <w:color w:val="0000FF"/>
        </w:rPr>
        <w:t>or trichloroethylene (TCE) or perchloroethylene (PCE)]</w:t>
      </w:r>
      <w:r>
        <w:rPr>
          <w:i/>
          <w:iCs/>
        </w:rPr>
        <w:t>.</w:t>
      </w:r>
      <w:r>
        <w:t xml:space="preserve"> [District Rule 2201] N</w:t>
      </w:r>
    </w:p>
    <w:p w:rsidR="00FD6FB5" w:rsidRDefault="00FD6FB5"/>
    <w:p w:rsidR="00FD6FB5" w:rsidRDefault="00FD6FB5">
      <w:pPr>
        <w:tabs>
          <w:tab w:val="left" w:pos="240"/>
          <w:tab w:val="left" w:pos="1080"/>
        </w:tabs>
      </w:pPr>
      <w:r>
        <w:t>{1416} Measurements to determine the influent and the effluent gas flow rates shall be taken at the initial inspection.  Flow rate calculations shall be submitted to the District along with the laboratory sample analysis results. [District Rule 1081] N</w:t>
      </w:r>
    </w:p>
    <w:p w:rsidR="00FD6FB5" w:rsidRDefault="00FD6FB5">
      <w:pPr>
        <w:tabs>
          <w:tab w:val="left" w:pos="240"/>
          <w:tab w:val="left" w:pos="1080"/>
        </w:tabs>
      </w:pPr>
      <w:r>
        <w:cr/>
        <w:t>{1417} Initial compliance with VOC emission rate and control efficiency requirements shall be demonstrated by the results of the laboratory sample analysis.  The results shall be submitted to the District within 60 days of the test. [District Rule 1081] N</w:t>
      </w:r>
    </w:p>
    <w:p w:rsidR="00FD6FB5" w:rsidRDefault="00FD6FB5">
      <w:pPr>
        <w:tabs>
          <w:tab w:val="left" w:pos="240"/>
          <w:tab w:val="left" w:pos="1080"/>
        </w:tabs>
      </w:pPr>
      <w:r>
        <w:cr/>
        <w:t>Sampling to demonstrate ongoing compliance with the VOC emission rate and control efficiency requirements shall be performed at least once per week by sampling both the influent and the effluent gas streams with an FID, PID, or other District-approved VOC detection device.</w:t>
      </w:r>
      <w:r>
        <w:rPr>
          <w:b/>
          <w:bCs/>
        </w:rPr>
        <w:t xml:space="preserve">  </w:t>
      </w:r>
      <w:r>
        <w:t>[District Rule 1081] N</w:t>
      </w:r>
    </w:p>
    <w:p w:rsidR="00FD6FB5" w:rsidRDefault="00FD6FB5">
      <w:pPr>
        <w:tabs>
          <w:tab w:val="left" w:pos="240"/>
          <w:tab w:val="left" w:pos="1080"/>
        </w:tabs>
        <w:rPr>
          <w:b/>
          <w:bCs/>
        </w:rPr>
      </w:pPr>
    </w:p>
    <w:p w:rsidR="00FD6FB5" w:rsidRDefault="00FD6FB5">
      <w:pPr>
        <w:tabs>
          <w:tab w:val="left" w:pos="240"/>
          <w:tab w:val="left" w:pos="1080"/>
        </w:tabs>
      </w:pPr>
      <w:r>
        <w:t>If the uncontrolled VOC emission rate is below 2 lb/day, as demonstrated by five consecutive weekly samples, the control device may be taken off-line and sampling shall only be performed on a monthly basis to continuously demonstrate that the uncontrolled VOC emissions are below 2 lb/day.</w:t>
      </w:r>
      <w:r>
        <w:rPr>
          <w:b/>
          <w:bCs/>
        </w:rPr>
        <w:t xml:space="preserve">  </w:t>
      </w:r>
      <w:r>
        <w:t xml:space="preserve">[District Rule 1081] N </w:t>
      </w:r>
    </w:p>
    <w:p w:rsidR="00FD6FB5" w:rsidRDefault="00FD6FB5">
      <w:pPr>
        <w:tabs>
          <w:tab w:val="left" w:pos="240"/>
          <w:tab w:val="left" w:pos="1080"/>
        </w:tabs>
      </w:pPr>
      <w:r>
        <w:cr/>
        <w:t>{1425} Records of the cumulative running time and the measured influent and effluent VOC concentrations shall be maintained. [District Rule 2201] N</w:t>
      </w:r>
    </w:p>
    <w:p w:rsidR="00FD6FB5" w:rsidRDefault="00FD6FB5">
      <w:pPr>
        <w:tabs>
          <w:tab w:val="left" w:pos="240"/>
          <w:tab w:val="left" w:pos="1080"/>
        </w:tabs>
      </w:pPr>
      <w:r>
        <w:cr/>
        <w:t>{2867} The permittee shall maintain annual records of total hours of engine operation. [District Rule 1070] N</w:t>
      </w:r>
    </w:p>
    <w:p w:rsidR="00FD6FB5" w:rsidRDefault="00FD6FB5">
      <w:pPr>
        <w:tabs>
          <w:tab w:val="left" w:pos="240"/>
          <w:tab w:val="left" w:pos="1080"/>
        </w:tabs>
      </w:pPr>
      <w:r>
        <w:cr/>
        <w:t>{2780} All records shall be retained for a minimum of five years, and shall be made available for District inspection upon request. [District Rule 2201] N</w:t>
      </w:r>
    </w:p>
    <w:p w:rsidR="00FD6FB5" w:rsidRDefault="00FD6FB5">
      <w:pPr>
        <w:tabs>
          <w:tab w:val="left" w:pos="240"/>
          <w:tab w:val="left" w:pos="1080"/>
        </w:tabs>
      </w:pPr>
    </w:p>
    <w:p w:rsidR="00FD6FB5" w:rsidRPr="008326F3" w:rsidRDefault="00FD6FB5" w:rsidP="007009EE">
      <w:pPr>
        <w:pStyle w:val="Heading3"/>
        <w:jc w:val="left"/>
        <w:rPr>
          <w:color w:val="0000FF"/>
          <w:u w:val="single"/>
        </w:rPr>
      </w:pPr>
      <w:r w:rsidRPr="008326F3">
        <w:rPr>
          <w:color w:val="0000FF"/>
          <w:u w:val="single"/>
        </w:rPr>
        <w:t xml:space="preserve"> Full-Time &gt; 50</w:t>
      </w:r>
      <w:r w:rsidR="008B2F73" w:rsidRPr="008326F3">
        <w:rPr>
          <w:color w:val="0000FF"/>
          <w:u w:val="single"/>
        </w:rPr>
        <w:t xml:space="preserve"> bhp</w:t>
      </w:r>
    </w:p>
    <w:p w:rsidR="00FD6FB5" w:rsidRDefault="00FD6FB5">
      <w:pPr>
        <w:tabs>
          <w:tab w:val="left" w:pos="240"/>
          <w:tab w:val="left" w:pos="1080"/>
        </w:tabs>
      </w:pPr>
    </w:p>
    <w:p w:rsidR="00FD6FB5" w:rsidRDefault="00FD6FB5">
      <w:pPr>
        <w:tabs>
          <w:tab w:val="left" w:pos="240"/>
          <w:tab w:val="left" w:pos="1080"/>
        </w:tabs>
      </w:pPr>
      <w:r>
        <w:t>{1420} The soil remediation system shall be maintained in proper operating condition at all times. [District Rule 2201] N</w:t>
      </w:r>
    </w:p>
    <w:p w:rsidR="00FD6FB5" w:rsidRDefault="00FD6FB5">
      <w:pPr>
        <w:tabs>
          <w:tab w:val="left" w:pos="240"/>
          <w:tab w:val="left" w:pos="1080"/>
        </w:tabs>
      </w:pPr>
      <w:r>
        <w:lastRenderedPageBreak/>
        <w:cr/>
        <w:t>{15} No air contaminant shall be discharged into the atmosphere for a period or periods aggregating more than three minutes in any one hour which is as dark as, or darker than, Ringelmann 1 or 20% opacity. [District Rule 4101] N</w:t>
      </w:r>
    </w:p>
    <w:p w:rsidR="00FD6FB5" w:rsidRDefault="00FD6FB5">
      <w:pPr>
        <w:tabs>
          <w:tab w:val="left" w:pos="240"/>
          <w:tab w:val="left" w:pos="1080"/>
        </w:tabs>
      </w:pPr>
      <w:r>
        <w:cr/>
        <w:t>{98} No air contaminant shall be released into the atmosphere which causes a public nuisance. [District Rule 4102] N</w:t>
      </w:r>
    </w:p>
    <w:p w:rsidR="00FD6FB5" w:rsidRDefault="00FD6FB5">
      <w:pPr>
        <w:tabs>
          <w:tab w:val="left" w:pos="240"/>
          <w:tab w:val="left" w:pos="1080"/>
        </w:tabs>
      </w:pPr>
      <w:r>
        <w:cr/>
        <w:t>{14} Particulate matter emissions shall not exceed 0.1 grains/dscf in concentration. [District Rule 4201] N</w:t>
      </w:r>
    </w:p>
    <w:p w:rsidR="00FD6FB5" w:rsidRDefault="00FD6FB5">
      <w:pPr>
        <w:tabs>
          <w:tab w:val="left" w:pos="240"/>
          <w:tab w:val="left" w:pos="1080"/>
        </w:tabs>
      </w:pPr>
      <w:r>
        <w:cr/>
        <w:t xml:space="preserve">{1431} Only </w:t>
      </w:r>
      <w:r w:rsidR="00A908A4">
        <w:t xml:space="preserve">commercial </w:t>
      </w:r>
      <w:r w:rsidR="009E097B">
        <w:t>propane</w:t>
      </w:r>
      <w:r w:rsidR="00A908A4">
        <w:t xml:space="preserve">, </w:t>
      </w:r>
      <w:r>
        <w:t xml:space="preserve">liquefied petroleum gas </w:t>
      </w:r>
      <w:r w:rsidR="00A908A4">
        <w:t xml:space="preserve">(LPG) </w:t>
      </w:r>
      <w:r>
        <w:t>or natural gas shall be used as auxiliary fuel for the combustion of VOC. [District Rule</w:t>
      </w:r>
      <w:r w:rsidR="009E097B">
        <w:t>s</w:t>
      </w:r>
      <w:r>
        <w:t xml:space="preserve"> 2201</w:t>
      </w:r>
      <w:r w:rsidR="009E097B">
        <w:t xml:space="preserve"> and 4702</w:t>
      </w:r>
      <w:r>
        <w:t>] N</w:t>
      </w:r>
    </w:p>
    <w:p w:rsidR="00FD6FB5" w:rsidRDefault="00FD6FB5">
      <w:pPr>
        <w:tabs>
          <w:tab w:val="left" w:pos="240"/>
          <w:tab w:val="left" w:pos="1080"/>
        </w:tabs>
      </w:pPr>
      <w:r>
        <w:cr/>
        <w:t>The VOC control device shall be at least 95% efficient in controlling the VOC from the soil remediation project. [District Rule 2201] N</w:t>
      </w:r>
    </w:p>
    <w:p w:rsidR="00FD6FB5" w:rsidRDefault="00FD6FB5">
      <w:pPr>
        <w:tabs>
          <w:tab w:val="left" w:pos="240"/>
          <w:tab w:val="left" w:pos="1080"/>
        </w:tabs>
      </w:pPr>
    </w:p>
    <w:p w:rsidR="00FD6FB5" w:rsidRDefault="00FD6FB5">
      <w:pPr>
        <w:tabs>
          <w:tab w:val="left" w:pos="240"/>
          <w:tab w:val="left" w:pos="1080"/>
        </w:tabs>
      </w:pPr>
      <w:r>
        <w:t xml:space="preserve">The emissions from the soil remediation system shall not exceed any of the following limits: 0.249 g-NOx/hp-hr (or </w:t>
      </w:r>
      <w:r>
        <w:rPr>
          <w:color w:val="0000FF"/>
        </w:rPr>
        <w:t xml:space="preserve">20.2 </w:t>
      </w:r>
      <w:r>
        <w:t>ppmv @ 15% O</w:t>
      </w:r>
      <w:r>
        <w:rPr>
          <w:vertAlign w:val="subscript"/>
        </w:rPr>
        <w:t>2</w:t>
      </w:r>
      <w:r>
        <w:t>), 9.957 g-CO/hp-hr (or 1,326.2</w:t>
      </w:r>
      <w:r>
        <w:rPr>
          <w:color w:val="0000FF"/>
        </w:rPr>
        <w:t xml:space="preserve"> </w:t>
      </w:r>
      <w:r>
        <w:t>ppmv @ 15% O2), 0.49 g-VOC/hp-hr (or 114.2</w:t>
      </w:r>
      <w:r>
        <w:rPr>
          <w:color w:val="0000FF"/>
        </w:rPr>
        <w:t xml:space="preserve"> </w:t>
      </w:r>
      <w:r>
        <w:t>ppmv @ 15% O2), 0.</w:t>
      </w:r>
      <w:r w:rsidR="00D4307F">
        <w:t>0577</w:t>
      </w:r>
      <w:r>
        <w:t xml:space="preserve"> g-SOx/hp-hr, or</w:t>
      </w:r>
      <w:r>
        <w:rPr>
          <w:sz w:val="32"/>
        </w:rPr>
        <w:t xml:space="preserve"> </w:t>
      </w:r>
      <w:r>
        <w:t>0.327 g-PM</w:t>
      </w:r>
      <w:r>
        <w:rPr>
          <w:vertAlign w:val="subscript"/>
        </w:rPr>
        <w:t>10</w:t>
      </w:r>
      <w:r>
        <w:t>/hp-hr. [District Rule 2201]</w:t>
      </w:r>
    </w:p>
    <w:p w:rsidR="00FD6FB5" w:rsidRPr="005D021C" w:rsidRDefault="00FD6FB5">
      <w:pPr>
        <w:tabs>
          <w:tab w:val="left" w:pos="240"/>
          <w:tab w:val="left" w:pos="1080"/>
        </w:tabs>
      </w:pPr>
      <w:r>
        <w:cr/>
      </w:r>
      <w:r w:rsidRPr="00EA1806">
        <w:t xml:space="preserve">{1444} The total VOC emission rate from the soil remediation system served by the internal combustion engine shall not exceed </w:t>
      </w:r>
      <w:r w:rsidRPr="005D021C">
        <w:rPr>
          <w:color w:val="0070C0"/>
        </w:rPr>
        <w:t>xxx</w:t>
      </w:r>
      <w:r w:rsidRPr="00EA1806">
        <w:t xml:space="preserve"> pounds in any one day. [District Rule </w:t>
      </w:r>
      <w:r w:rsidRPr="005D021C">
        <w:t>2201] N</w:t>
      </w:r>
    </w:p>
    <w:p w:rsidR="00FD6FB5" w:rsidRDefault="00FD6FB5">
      <w:pPr>
        <w:tabs>
          <w:tab w:val="left" w:pos="240"/>
          <w:tab w:val="left" w:pos="1080"/>
        </w:tabs>
      </w:pPr>
      <w:r>
        <w:cr/>
        <w:t>{1413} Sampling ports adequate for extraction of grab samples, measurement of gas flow rate, and use of an FID, PID, or other District-approved VOC detection device shall be provided for both the influent and the effluent gas streams. [District Rule 1081] N</w:t>
      </w:r>
    </w:p>
    <w:p w:rsidR="00FD6FB5" w:rsidRDefault="00FD6FB5">
      <w:pPr>
        <w:tabs>
          <w:tab w:val="left" w:pos="240"/>
          <w:tab w:val="left" w:pos="1080"/>
        </w:tabs>
      </w:pPr>
      <w:r>
        <w:cr/>
        <w:t>{1414} Laboratory samples shall be taken at the initial inspection, under the supervision of the APCD Inspector.  Samples shall be taken from both the influent and the effluent gas stream sampling ports. [District Rule 1081] N</w:t>
      </w:r>
    </w:p>
    <w:p w:rsidR="00FD6FB5" w:rsidRDefault="00FD6FB5">
      <w:r>
        <w:cr/>
        <w:t xml:space="preserve">Laboratory samples shall be analyzed for </w:t>
      </w:r>
      <w:r>
        <w:rPr>
          <w:color w:val="0000FF"/>
        </w:rPr>
        <w:t>[</w:t>
      </w:r>
      <w:r>
        <w:rPr>
          <w:i/>
          <w:iCs/>
          <w:color w:val="0000FF"/>
        </w:rPr>
        <w:t>TPH and BTEX</w:t>
      </w:r>
      <w:r>
        <w:rPr>
          <w:i/>
          <w:iCs/>
        </w:rPr>
        <w:t xml:space="preserve"> </w:t>
      </w:r>
      <w:r>
        <w:rPr>
          <w:i/>
          <w:iCs/>
          <w:color w:val="0000FF"/>
        </w:rPr>
        <w:t>or trichloroethylene (TCE) or perchloroethylene (PCE)]</w:t>
      </w:r>
      <w:r>
        <w:rPr>
          <w:i/>
          <w:iCs/>
        </w:rPr>
        <w:t>.</w:t>
      </w:r>
      <w:r>
        <w:t xml:space="preserve"> [District Rule</w:t>
      </w:r>
      <w:r w:rsidR="00311576">
        <w:t>s</w:t>
      </w:r>
      <w:r>
        <w:t xml:space="preserve"> 2201</w:t>
      </w:r>
      <w:r w:rsidR="00311576">
        <w:t>and 4102</w:t>
      </w:r>
      <w:r>
        <w:t>] N</w:t>
      </w:r>
    </w:p>
    <w:p w:rsidR="00FD6FB5" w:rsidRDefault="00FD6FB5">
      <w:pPr>
        <w:tabs>
          <w:tab w:val="left" w:pos="240"/>
          <w:tab w:val="left" w:pos="1080"/>
        </w:tabs>
      </w:pPr>
      <w:r>
        <w:cr/>
        <w:t>{1416} Measurements to determine the influent and the effluent gas flow rates shall be taken at the initial inspection.  Flow rate calculations shall be submitted to the District along with the laboratory sample analysis results. [District Rule 1081] N</w:t>
      </w:r>
    </w:p>
    <w:p w:rsidR="00FD6FB5" w:rsidRDefault="00FD6FB5">
      <w:pPr>
        <w:tabs>
          <w:tab w:val="left" w:pos="240"/>
          <w:tab w:val="left" w:pos="1080"/>
        </w:tabs>
      </w:pPr>
      <w:r>
        <w:cr/>
        <w:t>{1417} Initial compliance with VOC emission rate and control efficiency requirements shall be demonstrated by the results of the laboratory sample analysis.  The results shall be submitted to the District within 60 days of the test. [District Rule 1081] N</w:t>
      </w:r>
    </w:p>
    <w:p w:rsidR="00FD6FB5" w:rsidRDefault="00FD6FB5">
      <w:pPr>
        <w:tabs>
          <w:tab w:val="left" w:pos="240"/>
          <w:tab w:val="left" w:pos="1080"/>
        </w:tabs>
        <w:rPr>
          <w:b/>
          <w:bCs/>
          <w:highlight w:val="yellow"/>
        </w:rPr>
      </w:pPr>
      <w:r>
        <w:cr/>
        <w:t xml:space="preserve">Sampling to demonstrate ongoing </w:t>
      </w:r>
      <w:r w:rsidR="008B2F73">
        <w:t>compliance with</w:t>
      </w:r>
      <w:r>
        <w:t xml:space="preserve"> the VOC emission rate and control </w:t>
      </w:r>
      <w:r>
        <w:lastRenderedPageBreak/>
        <w:t>efficiency requirements shall be performed at least once per week by sampling both the influent and the effluent gas streams with an FID, PID, or other District-approved VOC detection device.</w:t>
      </w:r>
      <w:r>
        <w:rPr>
          <w:b/>
          <w:bCs/>
        </w:rPr>
        <w:t xml:space="preserve">  </w:t>
      </w:r>
      <w:r>
        <w:t>[District Rule 1081] N</w:t>
      </w:r>
    </w:p>
    <w:p w:rsidR="00FD6FB5" w:rsidRDefault="00FD6FB5">
      <w:pPr>
        <w:tabs>
          <w:tab w:val="left" w:pos="240"/>
          <w:tab w:val="left" w:pos="1080"/>
        </w:tabs>
        <w:rPr>
          <w:b/>
          <w:bCs/>
          <w:highlight w:val="yellow"/>
        </w:rPr>
      </w:pPr>
    </w:p>
    <w:p w:rsidR="00FD6FB5" w:rsidRDefault="00FD6FB5">
      <w:pPr>
        <w:tabs>
          <w:tab w:val="left" w:pos="240"/>
          <w:tab w:val="left" w:pos="1080"/>
        </w:tabs>
      </w:pPr>
      <w:r>
        <w:t>If the uncontrolled VOC emission rate is below 2 lb/day, as demonstrated by five consecutive weekly samples, the control device may be taken off-line and sampling shall only be performed on a monthly basis to continuously demonstrate that the uncontrolled VOC emissions are below 2 lb/day.</w:t>
      </w:r>
      <w:r>
        <w:rPr>
          <w:b/>
          <w:bCs/>
        </w:rPr>
        <w:t xml:space="preserve">  </w:t>
      </w:r>
      <w:r>
        <w:t xml:space="preserve">[District Rule 1081] N </w:t>
      </w:r>
    </w:p>
    <w:p w:rsidR="00FD6FB5" w:rsidRDefault="00FD6FB5">
      <w:pPr>
        <w:tabs>
          <w:tab w:val="left" w:pos="240"/>
          <w:tab w:val="left" w:pos="1080"/>
        </w:tabs>
      </w:pPr>
      <w:r>
        <w:cr/>
        <w:t>{1425} Records of the cumulative running time and the measured influent and effluent VOC concentrations shall be maintained. [District Rule 2201] N</w:t>
      </w:r>
    </w:p>
    <w:p w:rsidR="00FD6FB5" w:rsidRDefault="00FD6FB5">
      <w:pPr>
        <w:tabs>
          <w:tab w:val="left" w:pos="240"/>
          <w:tab w:val="left" w:pos="1080"/>
        </w:tabs>
      </w:pPr>
      <w:r>
        <w:cr/>
        <w:t>{2780} All records shall be retained for a minimum of five years, and shall be made available for District inspection upon request. [District Rule 2201] N</w:t>
      </w:r>
    </w:p>
    <w:p w:rsidR="00FD6FB5" w:rsidRDefault="00FD6FB5">
      <w:pPr>
        <w:tabs>
          <w:tab w:val="left" w:pos="240"/>
          <w:tab w:val="left" w:pos="1080"/>
        </w:tabs>
      </w:pPr>
    </w:p>
    <w:p w:rsidR="00FD6FB5" w:rsidRPr="008326F3" w:rsidRDefault="00FD6FB5" w:rsidP="007009EE">
      <w:pPr>
        <w:pStyle w:val="Heading3"/>
        <w:jc w:val="left"/>
        <w:rPr>
          <w:color w:val="0000FF"/>
          <w:u w:val="single"/>
        </w:rPr>
      </w:pPr>
      <w:r w:rsidRPr="008326F3">
        <w:rPr>
          <w:color w:val="0000FF"/>
          <w:u w:val="single"/>
        </w:rPr>
        <w:t>Stationary Full-Time &gt; 50</w:t>
      </w:r>
      <w:r w:rsidR="008B2F73" w:rsidRPr="008326F3">
        <w:rPr>
          <w:color w:val="0000FF"/>
          <w:u w:val="single"/>
        </w:rPr>
        <w:t xml:space="preserve"> bhp</w:t>
      </w:r>
      <w:r w:rsidRPr="008326F3">
        <w:rPr>
          <w:color w:val="0000FF"/>
          <w:u w:val="single"/>
        </w:rPr>
        <w:t xml:space="preserve"> </w:t>
      </w:r>
    </w:p>
    <w:p w:rsidR="00FD6FB5" w:rsidRDefault="00FD6FB5"/>
    <w:p w:rsidR="00FD6FB5" w:rsidRDefault="00FD6FB5">
      <w:r>
        <w:t>{1420} The soil remediation system shall be maintained in proper operating condition at all times. [District Rule 2201] N</w:t>
      </w:r>
    </w:p>
    <w:p w:rsidR="00FD6FB5" w:rsidRDefault="00FD6FB5">
      <w:r>
        <w:cr/>
        <w:t>{15} No air contaminant shall be discharged into the atmosphere for a period or periods aggregating more than three minutes in any one hour which is as dark as, or darker than, Ringelmann 1 or 20% opacity. [District Rule 4101] N</w:t>
      </w:r>
    </w:p>
    <w:p w:rsidR="00FD6FB5" w:rsidRDefault="00FD6FB5">
      <w:r>
        <w:cr/>
        <w:t>{98} No air contaminant shall be released into the atmosphere which causes a public nuisance. [District Rule 4102] N</w:t>
      </w:r>
    </w:p>
    <w:p w:rsidR="00FD6FB5" w:rsidRDefault="00FD6FB5">
      <w:r>
        <w:cr/>
        <w:t>{14} Particulate matter emissions shall not exceed 0.1 grains/dscf in concentration. [District Rule 4201] N</w:t>
      </w:r>
    </w:p>
    <w:p w:rsidR="00FD6FB5" w:rsidRDefault="00FD6FB5">
      <w:r>
        <w:cr/>
        <w:t>{1431} Only liquefied petroleum gas or natural gas shall be used as auxiliary fuel for the combustion of VOC. [District Rule 2201] N</w:t>
      </w:r>
    </w:p>
    <w:p w:rsidR="00FD6FB5" w:rsidRDefault="00FD6FB5"/>
    <w:p w:rsidR="00FD6FB5" w:rsidRDefault="00FD6FB5">
      <w:pPr>
        <w:tabs>
          <w:tab w:val="left" w:pos="240"/>
          <w:tab w:val="left" w:pos="1080"/>
        </w:tabs>
      </w:pPr>
      <w:r>
        <w:t>The VOC control device shall be at least 95% efficient in controlling the VOC from the soil remediation project. [District Rule 2201] N</w:t>
      </w:r>
    </w:p>
    <w:p w:rsidR="00FD6FB5" w:rsidRDefault="00FD6FB5">
      <w:r>
        <w:cr/>
        <w:t xml:space="preserve">The emissions from the soil remediation system shall not exceed any of the following limits: 0.249 g-NOx/hp-hr (or </w:t>
      </w:r>
      <w:r>
        <w:rPr>
          <w:color w:val="0000FF"/>
        </w:rPr>
        <w:t xml:space="preserve">20.2 </w:t>
      </w:r>
      <w:r>
        <w:t>ppmv @ 15% O</w:t>
      </w:r>
      <w:r>
        <w:rPr>
          <w:vertAlign w:val="subscript"/>
        </w:rPr>
        <w:t>2</w:t>
      </w:r>
      <w:r>
        <w:t>), 9.957 g-CO/hp-hr (or 1,326.2</w:t>
      </w:r>
      <w:r>
        <w:rPr>
          <w:color w:val="0000FF"/>
        </w:rPr>
        <w:t xml:space="preserve"> </w:t>
      </w:r>
      <w:r>
        <w:t>ppmv @ 15% O2), 0.49 g-VOC/hp-hr (or 114.2</w:t>
      </w:r>
      <w:r>
        <w:rPr>
          <w:color w:val="0000FF"/>
        </w:rPr>
        <w:t xml:space="preserve"> </w:t>
      </w:r>
      <w:r>
        <w:t>ppmv @ 15% O2), 0.</w:t>
      </w:r>
      <w:r w:rsidR="00D4307F">
        <w:t>0577</w:t>
      </w:r>
      <w:r>
        <w:t xml:space="preserve"> g-SOx/hp-hr, or 0.327 g-PM</w:t>
      </w:r>
      <w:r>
        <w:rPr>
          <w:vertAlign w:val="subscript"/>
        </w:rPr>
        <w:t>10</w:t>
      </w:r>
      <w:r>
        <w:t xml:space="preserve">/hp-hr. [District Rules 2201 and </w:t>
      </w:r>
      <w:r w:rsidR="003929CA">
        <w:t>4702</w:t>
      </w:r>
      <w:r>
        <w:t>]</w:t>
      </w:r>
    </w:p>
    <w:p w:rsidR="00FD6FB5" w:rsidRDefault="00FD6FB5"/>
    <w:p w:rsidR="00FD6FB5" w:rsidRPr="00EA1806" w:rsidRDefault="00FD6FB5">
      <w:r w:rsidRPr="00EA1806">
        <w:t xml:space="preserve">{1444} The total VOC emission rate from the soil remediation system served by the internal combustion engine shall not exceed </w:t>
      </w:r>
      <w:r w:rsidRPr="005D021C">
        <w:rPr>
          <w:color w:val="0070C0"/>
        </w:rPr>
        <w:t>xxx</w:t>
      </w:r>
      <w:r w:rsidRPr="00EA1806">
        <w:t xml:space="preserve"> pounds in any one day. [District Rule 2201] N</w:t>
      </w:r>
    </w:p>
    <w:p w:rsidR="00FD6FB5" w:rsidRDefault="00FD6FB5">
      <w:r>
        <w:cr/>
        <w:t xml:space="preserve">{1413} Sampling ports adequate for extraction of grab samples, measurement of gas </w:t>
      </w:r>
      <w:r>
        <w:lastRenderedPageBreak/>
        <w:t>flow rate, and use of an FID, PID, or other District-approved VOC detection device shall be provided for both the influent and the effluent gas streams. [District Rule 1081] N</w:t>
      </w:r>
    </w:p>
    <w:p w:rsidR="00FD6FB5" w:rsidRDefault="00FD6FB5">
      <w:r>
        <w:cr/>
        <w:t>{1414} Laboratory samples shall be taken at the initial inspection, under the supervision of the APCD Inspector.  Samples shall be taken from both the influent and the effluent gas stream sampling ports. [District Rule 1081] N</w:t>
      </w:r>
    </w:p>
    <w:p w:rsidR="00FD6FB5" w:rsidRDefault="00FD6FB5">
      <w:r>
        <w:cr/>
        <w:t xml:space="preserve">Laboratory samples shall be analyzed for </w:t>
      </w:r>
      <w:r>
        <w:rPr>
          <w:color w:val="0000FF"/>
        </w:rPr>
        <w:t>[</w:t>
      </w:r>
      <w:r>
        <w:rPr>
          <w:i/>
          <w:iCs/>
          <w:color w:val="0000FF"/>
        </w:rPr>
        <w:t>TPH and BTEX</w:t>
      </w:r>
      <w:r>
        <w:rPr>
          <w:i/>
          <w:iCs/>
        </w:rPr>
        <w:t xml:space="preserve"> </w:t>
      </w:r>
      <w:r>
        <w:rPr>
          <w:i/>
          <w:iCs/>
          <w:color w:val="0000FF"/>
        </w:rPr>
        <w:t>or trichloroethylene (TCE) or perchloroethylene (PCE)]</w:t>
      </w:r>
      <w:r>
        <w:rPr>
          <w:i/>
          <w:iCs/>
        </w:rPr>
        <w:t>.</w:t>
      </w:r>
      <w:r>
        <w:t xml:space="preserve"> [District Rule</w:t>
      </w:r>
      <w:r w:rsidR="00311576">
        <w:t>s</w:t>
      </w:r>
      <w:r>
        <w:t xml:space="preserve"> 2201</w:t>
      </w:r>
      <w:r w:rsidR="00311576">
        <w:t xml:space="preserve"> and 4102</w:t>
      </w:r>
      <w:r>
        <w:t>] N</w:t>
      </w:r>
    </w:p>
    <w:p w:rsidR="00FD6FB5" w:rsidRDefault="00FD6FB5">
      <w:r>
        <w:cr/>
        <w:t>{1416} Measurements to determine the influent and the effluent gas flow rates shall be taken at the initial inspection.  Flow rate calculations shall be submitted to the District along with the laboratory sample analysis results. [District Rule 1081] N</w:t>
      </w:r>
    </w:p>
    <w:p w:rsidR="00FD6FB5" w:rsidRDefault="00FD6FB5">
      <w:r>
        <w:cr/>
        <w:t>{1417} Initial compliance with VOC emission rate and control efficiency requirements shall be demonstrated by the results of the laboratory sample analysis.  The results shall be submitted to the District within 60 days of the test. [District Rule 1081] N</w:t>
      </w:r>
    </w:p>
    <w:p w:rsidR="00FD6FB5" w:rsidRDefault="00FD6FB5">
      <w:pPr>
        <w:tabs>
          <w:tab w:val="left" w:pos="240"/>
          <w:tab w:val="left" w:pos="1080"/>
        </w:tabs>
        <w:rPr>
          <w:b/>
          <w:bCs/>
          <w:highlight w:val="yellow"/>
        </w:rPr>
      </w:pPr>
      <w:r>
        <w:cr/>
        <w:t xml:space="preserve">Sampling to demonstrate ongoing </w:t>
      </w:r>
      <w:r w:rsidR="008B2F73">
        <w:t>compliance with</w:t>
      </w:r>
      <w:r>
        <w:t xml:space="preserve"> the VOC emission rate and control efficiency requirements shall be performed at least once per week by sampling both the influent and the effluent gas streams with an FID, PID, or other District-approved VOC detection device.</w:t>
      </w:r>
      <w:r>
        <w:rPr>
          <w:b/>
          <w:bCs/>
        </w:rPr>
        <w:t xml:space="preserve">  </w:t>
      </w:r>
      <w:r>
        <w:t>[District Rule 1081] N</w:t>
      </w:r>
    </w:p>
    <w:p w:rsidR="00FD6FB5" w:rsidRDefault="00FD6FB5">
      <w:pPr>
        <w:tabs>
          <w:tab w:val="left" w:pos="240"/>
          <w:tab w:val="left" w:pos="1080"/>
        </w:tabs>
        <w:rPr>
          <w:b/>
          <w:bCs/>
          <w:highlight w:val="yellow"/>
        </w:rPr>
      </w:pPr>
    </w:p>
    <w:p w:rsidR="00FD6FB5" w:rsidRDefault="00FD6FB5">
      <w:pPr>
        <w:tabs>
          <w:tab w:val="left" w:pos="240"/>
          <w:tab w:val="left" w:pos="1080"/>
        </w:tabs>
      </w:pPr>
      <w:r>
        <w:t xml:space="preserve">If the uncontrolled VOC emission rate is below 2 lb/day, as demonstrated by five consecutive weekly samples, the control device may be taken off-line and sampling shall only be performed on a monthly basis to continuously demonstrate that the uncontrolled VOC emissions are below 2 lb/day.  [District Rule 1081] N </w:t>
      </w:r>
    </w:p>
    <w:p w:rsidR="00FD6FB5" w:rsidRDefault="00FD6FB5">
      <w:r>
        <w:cr/>
        <w:t xml:space="preserve">{2869} Source testing of the NOx, CO and VOC emission concentrations shall be conducted within 60 days of initial startup and at least once every 24 months thereafter. [District Rule </w:t>
      </w:r>
      <w:r w:rsidR="003929CA">
        <w:t>4702</w:t>
      </w:r>
      <w:r>
        <w:t>] N</w:t>
      </w:r>
    </w:p>
    <w:p w:rsidR="00FD6FB5" w:rsidRDefault="00FD6FB5">
      <w:r>
        <w:cr/>
        <w:t xml:space="preserve">{2870} Source testing for NOx emissions shall be conducted utilizing CARB 100 or EPA method 7E. [District Rule </w:t>
      </w:r>
      <w:r w:rsidR="003929CA">
        <w:t>4702</w:t>
      </w:r>
      <w:r>
        <w:t>] N</w:t>
      </w:r>
    </w:p>
    <w:p w:rsidR="00FD6FB5" w:rsidRDefault="00FD6FB5">
      <w:r>
        <w:cr/>
        <w:t xml:space="preserve">{2871} Source testing for CO emissions shall be conducted utilizing CARB 100 or EPA method 10. [District Rule </w:t>
      </w:r>
      <w:r w:rsidR="003929CA">
        <w:t>4702</w:t>
      </w:r>
      <w:r>
        <w:t>] N</w:t>
      </w:r>
    </w:p>
    <w:p w:rsidR="00FD6FB5" w:rsidRDefault="00FD6FB5">
      <w:r>
        <w:cr/>
        <w:t xml:space="preserve">{2872} Source testing for VOC emissions shall be conducted utilizing EPA method 25 or EPA method 18, referenced as methane. [District Rule </w:t>
      </w:r>
      <w:r w:rsidR="003929CA">
        <w:t>4702</w:t>
      </w:r>
      <w:r>
        <w:t>] N</w:t>
      </w:r>
    </w:p>
    <w:p w:rsidR="00FD6FB5" w:rsidRDefault="00FD6FB5">
      <w:r>
        <w:cr/>
        <w:t>{109} Source testing shall be conducted using the methods and procedures approved by the District.  The District must be notified at least 30 days prior to any compliance source test, and a source test plan must be submitted for approval at least 15 days prior to testing. [District Rule 1081] N</w:t>
      </w:r>
    </w:p>
    <w:p w:rsidR="00FD6FB5" w:rsidRDefault="00FD6FB5">
      <w:r>
        <w:lastRenderedPageBreak/>
        <w:cr/>
        <w:t>{2873} The results of each source test must be submitted to the District within 60 days thereafter. [District Rule 1081] N</w:t>
      </w:r>
    </w:p>
    <w:p w:rsidR="00FD6FB5" w:rsidRDefault="00FD6FB5">
      <w:r>
        <w:cr/>
        <w:t>{2874} Sampling facilities for source testing shall be provided in accordance with the provisions of Rule 1081 (Source Sampling). [District Rule 1081] N</w:t>
      </w:r>
    </w:p>
    <w:p w:rsidR="00FD6FB5" w:rsidRDefault="00FD6FB5">
      <w:r>
        <w:cr/>
        <w:t xml:space="preserve">The permittee shall monitor and record the stack concentration of </w:t>
      </w:r>
      <w:r w:rsidR="008B2F73">
        <w:t>NOX (</w:t>
      </w:r>
      <w:r>
        <w:t xml:space="preserve">as NO2), CO, and O2 at least once every calendar quarter using a portable emission monitor that meets District specifications. [In-stack O2 monitors may be allowed if approved by the APCO.]  Monitoring shall be performed not less than once every month for 12 months if 2 consecutive deviations are observed during quarterly monitoring.  Monitoring shall not be required if the engine is not in operation, i.e. the engine need not be started solely to perform monitoring.  Monitoring shall be performed within 5 day of restarting the engine unless monitoring has been performed within the last month if on a monthly monitoring schedule, or within the last quarter if on a quarterly monitoring schedule. Records must be maintained of the dates of non-operation to validate extended monitoring frequencies. [District Rule </w:t>
      </w:r>
      <w:r w:rsidR="003929CA">
        <w:t>4702</w:t>
      </w:r>
      <w:r>
        <w:t>] N</w:t>
      </w:r>
    </w:p>
    <w:p w:rsidR="00FD6FB5" w:rsidRDefault="00FD6FB5">
      <w:r>
        <w:cr/>
        <w:t xml:space="preserve">{2876} If the NOX or CO concentrations corrected to 15% O2, as measured by the portable analyzer, exceed the permitted emission concentration, the permittee shall return the emissions to within the acceptable range as soon as possible, but no longer than 8 hours after detection.  If the portable analyzer readings continue to exceed the allowable emissions concentration after 8 hours, the permittee shall notify the District within the following 1 hour, and conduct a certified source test within 60 days of the first exceedance.  In lieu of conducting a source test, the permittee may stipulate a violation has occurred, subject to enforcement action.  The permittee must then correct the violation, show compliance has been re-established, and resume monitoring procedures.  If the deviations are the result of a qualifying breakdown condition pursuant to Rule 1100, the permittee may fully comply with Rule 1100 in lieu of the performing the notification and testing required by this condition. [District Rule </w:t>
      </w:r>
      <w:r w:rsidR="003929CA">
        <w:t>4702</w:t>
      </w:r>
      <w:r>
        <w:t>] N</w:t>
      </w:r>
    </w:p>
    <w:p w:rsidR="00FD6FB5" w:rsidRDefault="00FD6FB5">
      <w:r>
        <w:cr/>
        <w:t xml:space="preserve">{2877} The permittee shall maintain records of: (1) the date and time of NOX, CO, and O2 measurements, (2) the O2 concentration in percent and the measured NOX and CO concentrations corrected to 15% O2, (3) make and model of exhaust gas analyzer, (4) exhaust gas analyzer calibration records, and (5) a description of any corrective action taken to maintain the emissions within the acceptable range. [District Rule </w:t>
      </w:r>
      <w:r w:rsidR="003929CA">
        <w:t>4702</w:t>
      </w:r>
      <w:r>
        <w:t>] N</w:t>
      </w:r>
    </w:p>
    <w:p w:rsidR="00FD6FB5" w:rsidRDefault="00FD6FB5">
      <w:r>
        <w:cr/>
        <w:t>{2878} The results of the measurements taken with the District approved analyzer shall be maintained on the premises at all times. [District Rule</w:t>
      </w:r>
      <w:r w:rsidR="003929CA">
        <w:t>s 1070 and 4702</w:t>
      </w:r>
      <w:r>
        <w:t>] N</w:t>
      </w:r>
    </w:p>
    <w:p w:rsidR="00FD6FB5" w:rsidRDefault="00FD6FB5">
      <w:r>
        <w:cr/>
        <w:t>{1425} Records of the cumulative running time and the measured influent and effluent VOC concentrations shall be maintained. [District Rule</w:t>
      </w:r>
      <w:r w:rsidR="003929CA">
        <w:t>s</w:t>
      </w:r>
      <w:r>
        <w:t xml:space="preserve"> 2201</w:t>
      </w:r>
      <w:r w:rsidR="003929CA">
        <w:t>and 4702</w:t>
      </w:r>
      <w:r>
        <w:t>] N</w:t>
      </w:r>
    </w:p>
    <w:p w:rsidR="00FD6FB5" w:rsidRDefault="00FD6FB5" w:rsidP="00D839B4">
      <w:r>
        <w:cr/>
        <w:t xml:space="preserve">{2780} All records shall be retained for a minimum of five years, and shall be made available for District inspection upon request. [District Rule </w:t>
      </w:r>
      <w:r w:rsidR="003929CA">
        <w:t>1070</w:t>
      </w:r>
      <w:r>
        <w:t>] N</w:t>
      </w:r>
    </w:p>
    <w:sectPr w:rsidR="00FD6FB5" w:rsidSect="005D021C">
      <w:pgSz w:w="12240" w:h="15840" w:code="1"/>
      <w:pgMar w:top="994" w:right="1440" w:bottom="1440" w:left="1440" w:header="720" w:footer="806"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32" w:rsidRDefault="00A22732">
      <w:r>
        <w:separator/>
      </w:r>
    </w:p>
  </w:endnote>
  <w:endnote w:type="continuationSeparator" w:id="0">
    <w:p w:rsidR="00A22732" w:rsidRDefault="00A2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32" w:rsidRDefault="00A22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22732" w:rsidRDefault="00A22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32" w:rsidRDefault="00A22732">
    <w:pPr>
      <w:pStyle w:val="Footer"/>
      <w:jc w:val="center"/>
      <w:rPr>
        <w:sz w:val="22"/>
      </w:rPr>
    </w:pPr>
    <w:r>
      <w:rPr>
        <w:rStyle w:val="PageNumbe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sidR="004B68AE">
      <w:rPr>
        <w:rStyle w:val="PageNumber"/>
        <w:noProof/>
        <w:sz w:val="22"/>
      </w:rPr>
      <w:t>28</w:t>
    </w:r>
    <w:r>
      <w:rPr>
        <w:rStyle w:val="PageNumbe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32" w:rsidRDefault="00A22732">
    <w:pPr>
      <w:pStyle w:val="Footer"/>
      <w:jc w:val="center"/>
    </w:pPr>
    <w:r>
      <w:t xml:space="preserve">Page </w:t>
    </w:r>
    <w:r>
      <w:fldChar w:fldCharType="begin"/>
    </w:r>
    <w:r>
      <w:instrText xml:space="preserve"> PAGE   \* MERGEFORMAT </w:instrText>
    </w:r>
    <w:r>
      <w:fldChar w:fldCharType="separate"/>
    </w:r>
    <w:r w:rsidR="004B68AE">
      <w:rPr>
        <w:noProof/>
      </w:rPr>
      <w:t>1</w:t>
    </w:r>
    <w:r>
      <w:rPr>
        <w:noProof/>
      </w:rPr>
      <w:fldChar w:fldCharType="end"/>
    </w:r>
  </w:p>
  <w:p w:rsidR="00A22732" w:rsidRDefault="00A227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32" w:rsidRDefault="00A22732">
    <w:pPr>
      <w:pStyle w:val="Footer"/>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32" w:rsidRDefault="00A22732">
      <w:r>
        <w:separator/>
      </w:r>
    </w:p>
  </w:footnote>
  <w:footnote w:type="continuationSeparator" w:id="0">
    <w:p w:rsidR="00A22732" w:rsidRDefault="00A22732">
      <w:r>
        <w:continuationSeparator/>
      </w:r>
    </w:p>
  </w:footnote>
  <w:footnote w:id="1">
    <w:p w:rsidR="00A22732" w:rsidRDefault="00A22732">
      <w:pPr>
        <w:pStyle w:val="FootnoteText"/>
        <w:rPr>
          <w:rFonts w:ascii="Arial" w:hAnsi="Arial" w:cs="Arial"/>
          <w:sz w:val="22"/>
        </w:rPr>
      </w:pPr>
      <w:r>
        <w:rPr>
          <w:rStyle w:val="FootnoteReference"/>
          <w:rFonts w:ascii="Arial" w:hAnsi="Arial" w:cs="Arial"/>
          <w:sz w:val="22"/>
        </w:rPr>
        <w:footnoteRef/>
      </w:r>
      <w:r>
        <w:rPr>
          <w:rFonts w:ascii="Arial" w:hAnsi="Arial" w:cs="Arial"/>
          <w:sz w:val="22"/>
        </w:rPr>
        <w:t xml:space="preserve"> AP-42 Table 3.3-1</w:t>
      </w:r>
    </w:p>
  </w:footnote>
  <w:footnote w:id="2">
    <w:p w:rsidR="00A22732" w:rsidRDefault="00A22732">
      <w:pPr>
        <w:pStyle w:val="FootnoteText"/>
        <w:rPr>
          <w:rFonts w:ascii="Arial" w:hAnsi="Arial" w:cs="Arial"/>
          <w:sz w:val="22"/>
        </w:rPr>
      </w:pPr>
      <w:r>
        <w:rPr>
          <w:rStyle w:val="FootnoteReference"/>
          <w:rFonts w:ascii="Arial" w:hAnsi="Arial" w:cs="Arial"/>
          <w:sz w:val="22"/>
        </w:rPr>
        <w:footnoteRef/>
      </w:r>
      <w:r>
        <w:rPr>
          <w:rFonts w:ascii="Arial" w:hAnsi="Arial" w:cs="Arial"/>
          <w:sz w:val="22"/>
        </w:rPr>
        <w:t xml:space="preserve"> Fd = 10</w:t>
      </w:r>
      <w:r>
        <w:rPr>
          <w:rFonts w:ascii="Arial" w:hAnsi="Arial" w:cs="Arial"/>
          <w:sz w:val="22"/>
          <w:vertAlign w:val="superscript"/>
        </w:rPr>
        <w:t>6</w:t>
      </w:r>
      <w:r>
        <w:rPr>
          <w:rFonts w:ascii="Arial" w:hAnsi="Arial" w:cs="Arial"/>
          <w:sz w:val="22"/>
        </w:rPr>
        <w:t xml:space="preserve"> x [(3.64 x 14.76) + (1.53 x 84.9) + (0.57 x 0.08) – (0.46 x 2.7)] x (459.67 + 60 </w:t>
      </w:r>
      <w:r>
        <w:rPr>
          <w:rFonts w:ascii="Arial" w:hAnsi="Arial" w:cs="Arial"/>
          <w:sz w:val="22"/>
        </w:rPr>
        <w:sym w:font="Symbol" w:char="F0B0"/>
      </w:r>
      <w:r>
        <w:rPr>
          <w:rFonts w:ascii="Arial" w:hAnsi="Arial" w:cs="Arial"/>
          <w:sz w:val="22"/>
        </w:rPr>
        <w:t xml:space="preserve">F / 459.67 + 68 </w:t>
      </w:r>
      <w:r>
        <w:rPr>
          <w:rFonts w:ascii="Arial" w:hAnsi="Arial" w:cs="Arial"/>
          <w:sz w:val="22"/>
        </w:rPr>
        <w:sym w:font="Symbol" w:char="F0B0"/>
      </w:r>
      <w:r>
        <w:rPr>
          <w:rFonts w:ascii="Arial" w:hAnsi="Arial" w:cs="Arial"/>
          <w:sz w:val="22"/>
        </w:rPr>
        <w:t>F) / 20,300 Btu/lb = 8,850 dscf/MMBtu</w:t>
      </w:r>
    </w:p>
  </w:footnote>
  <w:footnote w:id="3">
    <w:p w:rsidR="00A22732" w:rsidRDefault="00A22732">
      <w:pPr>
        <w:pStyle w:val="FootnoteText"/>
        <w:rPr>
          <w:rFonts w:ascii="Arial" w:hAnsi="Arial" w:cs="Arial"/>
          <w:sz w:val="22"/>
        </w:rPr>
      </w:pPr>
      <w:r>
        <w:rPr>
          <w:rStyle w:val="FootnoteReference"/>
          <w:rFonts w:ascii="Arial" w:hAnsi="Arial" w:cs="Arial"/>
          <w:sz w:val="22"/>
        </w:rPr>
        <w:footnoteRef/>
      </w:r>
      <w:r>
        <w:rPr>
          <w:rFonts w:ascii="Arial" w:hAnsi="Arial" w:cs="Arial"/>
          <w:sz w:val="22"/>
        </w:rPr>
        <w:t xml:space="preserve"> From CAPCOA Portable Equipment IC Engine Technical Reference Document (5/95).</w:t>
      </w:r>
    </w:p>
  </w:footnote>
  <w:footnote w:id="4">
    <w:p w:rsidR="00A22732" w:rsidRPr="007009EE" w:rsidRDefault="00A22732">
      <w:pPr>
        <w:pStyle w:val="FootnoteText"/>
        <w:rPr>
          <w:rFonts w:ascii="Arial" w:hAnsi="Arial" w:cs="Arial"/>
          <w:sz w:val="20"/>
        </w:rPr>
      </w:pPr>
      <w:r w:rsidRPr="007009EE">
        <w:rPr>
          <w:rStyle w:val="FootnoteReference"/>
          <w:rFonts w:ascii="Arial" w:hAnsi="Arial" w:cs="Arial"/>
          <w:sz w:val="20"/>
        </w:rPr>
        <w:footnoteRef/>
      </w:r>
      <w:r w:rsidRPr="007009EE">
        <w:rPr>
          <w:rFonts w:ascii="Arial" w:hAnsi="Arial" w:cs="Arial"/>
          <w:sz w:val="20"/>
        </w:rPr>
        <w:t xml:space="preserve"> </w:t>
      </w:r>
      <w:r w:rsidRPr="007009EE">
        <w:rPr>
          <w:rFonts w:ascii="Arial" w:hAnsi="Arial" w:cs="Arial"/>
          <w:spacing w:val="-3"/>
          <w:sz w:val="20"/>
        </w:rPr>
        <w:t xml:space="preserve">Compliance Assistance Program </w:t>
      </w:r>
      <w:r w:rsidRPr="007009EE">
        <w:rPr>
          <w:rFonts w:ascii="Arial" w:hAnsi="Arial" w:cs="Arial"/>
          <w:i/>
          <w:iCs/>
          <w:spacing w:val="-3"/>
          <w:sz w:val="20"/>
        </w:rPr>
        <w:t>– Soil Decontamination</w:t>
      </w:r>
      <w:r w:rsidRPr="007009EE">
        <w:rPr>
          <w:rFonts w:ascii="Arial" w:hAnsi="Arial" w:cs="Arial"/>
          <w:spacing w:val="-3"/>
          <w:sz w:val="20"/>
        </w:rPr>
        <w:t xml:space="preserve">, Page 300-68 states an overall control efficiency of extracted vapors range from 95% to 99%.  For the purposes of this project 95% will be used as the control efficiency, regardless if the actual control efficiency is higher than 95%.  </w:t>
      </w:r>
    </w:p>
  </w:footnote>
  <w:footnote w:id="5">
    <w:p w:rsidR="00A22732" w:rsidRPr="007009EE" w:rsidRDefault="00A22732">
      <w:pPr>
        <w:pStyle w:val="FootnoteText"/>
        <w:rPr>
          <w:rFonts w:ascii="Arial" w:hAnsi="Arial" w:cs="Arial"/>
          <w:sz w:val="20"/>
        </w:rPr>
      </w:pPr>
      <w:r w:rsidRPr="007009EE">
        <w:rPr>
          <w:rStyle w:val="FootnoteReference"/>
          <w:rFonts w:ascii="Arial" w:hAnsi="Arial" w:cs="Arial"/>
          <w:sz w:val="20"/>
        </w:rPr>
        <w:footnoteRef/>
      </w:r>
      <w:r w:rsidRPr="007009EE">
        <w:rPr>
          <w:rFonts w:ascii="Arial" w:hAnsi="Arial" w:cs="Arial"/>
          <w:sz w:val="20"/>
        </w:rPr>
        <w:t xml:space="preserve"> Minimum BACT requirement is 95% control efficiency.  </w:t>
      </w:r>
    </w:p>
  </w:footnote>
  <w:footnote w:id="6">
    <w:p w:rsidR="00A22732" w:rsidRDefault="00A22732">
      <w:pPr>
        <w:pStyle w:val="FootnoteText"/>
        <w:rPr>
          <w:rFonts w:ascii="Arial" w:hAnsi="Arial" w:cs="Arial"/>
          <w:sz w:val="22"/>
        </w:rPr>
      </w:pPr>
      <w:r w:rsidRPr="007009EE">
        <w:rPr>
          <w:rStyle w:val="FootnoteReference"/>
          <w:rFonts w:ascii="Arial" w:hAnsi="Arial" w:cs="Arial"/>
          <w:sz w:val="20"/>
        </w:rPr>
        <w:footnoteRef/>
      </w:r>
      <w:r w:rsidRPr="007009EE">
        <w:rPr>
          <w:rFonts w:ascii="Arial" w:hAnsi="Arial" w:cs="Arial"/>
          <w:sz w:val="20"/>
        </w:rPr>
        <w:t xml:space="preserve"> As calculated in </w:t>
      </w:r>
      <w:r w:rsidRPr="007009EE">
        <w:rPr>
          <w:rFonts w:ascii="Arial" w:hAnsi="Arial" w:cs="Arial"/>
          <w:color w:val="0000FF"/>
          <w:sz w:val="20"/>
        </w:rPr>
        <w:t>Appendix III</w:t>
      </w:r>
    </w:p>
  </w:footnote>
  <w:footnote w:id="7">
    <w:p w:rsidR="00A22732" w:rsidRDefault="00A22732">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pacing w:val="-3"/>
          <w:sz w:val="20"/>
        </w:rPr>
        <w:t>PE</w:t>
      </w:r>
      <w:r>
        <w:rPr>
          <w:rFonts w:ascii="Arial" w:hAnsi="Arial" w:cs="Arial"/>
          <w:spacing w:val="-3"/>
          <w:sz w:val="20"/>
          <w:vertAlign w:val="subscript"/>
        </w:rPr>
        <w:t xml:space="preserve">Annual </w:t>
      </w:r>
      <w:r>
        <w:rPr>
          <w:rFonts w:ascii="Arial" w:hAnsi="Arial" w:cs="Arial"/>
          <w:spacing w:val="-3"/>
          <w:sz w:val="20"/>
        </w:rPr>
        <w:t>(lb/yr) = PE</w:t>
      </w:r>
      <w:r>
        <w:rPr>
          <w:rFonts w:ascii="Arial" w:hAnsi="Arial" w:cs="Arial"/>
          <w:spacing w:val="-3"/>
          <w:sz w:val="20"/>
          <w:vertAlign w:val="subscript"/>
        </w:rPr>
        <w:t xml:space="preserve">Total </w:t>
      </w:r>
      <w:r>
        <w:rPr>
          <w:rFonts w:ascii="Arial" w:hAnsi="Arial" w:cs="Arial"/>
          <w:spacing w:val="-3"/>
          <w:sz w:val="20"/>
        </w:rPr>
        <w:t>(lb/day) x 365 (days/yr)</w:t>
      </w:r>
    </w:p>
  </w:footnote>
  <w:footnote w:id="8">
    <w:p w:rsidR="00A22732" w:rsidRDefault="00A22732">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spacing w:val="-3"/>
          <w:sz w:val="20"/>
        </w:rPr>
        <w:t>PE</w:t>
      </w:r>
      <w:r>
        <w:rPr>
          <w:rFonts w:ascii="Arial" w:hAnsi="Arial" w:cs="Arial"/>
          <w:spacing w:val="-3"/>
          <w:sz w:val="20"/>
          <w:vertAlign w:val="subscript"/>
        </w:rPr>
        <w:t xml:space="preserve">Quarterly </w:t>
      </w:r>
      <w:r>
        <w:rPr>
          <w:rFonts w:ascii="Arial" w:hAnsi="Arial" w:cs="Arial"/>
          <w:spacing w:val="-3"/>
          <w:sz w:val="20"/>
        </w:rPr>
        <w:t>(lb/qtr) = (PE</w:t>
      </w:r>
      <w:r>
        <w:rPr>
          <w:rFonts w:ascii="Arial" w:hAnsi="Arial" w:cs="Arial"/>
          <w:spacing w:val="-3"/>
          <w:sz w:val="20"/>
          <w:vertAlign w:val="subscript"/>
        </w:rPr>
        <w:t>Annual</w:t>
      </w:r>
      <w:r>
        <w:rPr>
          <w:rFonts w:ascii="Arial" w:hAnsi="Arial" w:cs="Arial"/>
          <w:spacing w:val="-3"/>
          <w:sz w:val="20"/>
        </w:rPr>
        <w:t xml:space="preserve">) (lb/yr) </w:t>
      </w:r>
      <w:r>
        <w:rPr>
          <w:rFonts w:ascii="Arial" w:hAnsi="Arial" w:cs="Arial"/>
          <w:sz w:val="26"/>
          <w:szCs w:val="26"/>
        </w:rPr>
        <w:t>÷</w:t>
      </w:r>
      <w:r>
        <w:rPr>
          <w:rFonts w:ascii="Arial" w:hAnsi="Arial" w:cs="Arial"/>
          <w:spacing w:val="-3"/>
          <w:sz w:val="20"/>
        </w:rPr>
        <w:t xml:space="preserve"> 4 qtr/yr)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732" w:rsidRDefault="00A22732" w:rsidP="00BD6374">
    <w:pPr>
      <w:jc w:val="right"/>
      <w:rPr>
        <w:iCs/>
        <w:color w:val="0000FF"/>
      </w:rPr>
    </w:pPr>
    <w:r>
      <w:rPr>
        <w:iCs/>
        <w:color w:val="0000FF"/>
      </w:rPr>
      <w:t>Facility Name</w:t>
    </w:r>
  </w:p>
  <w:p w:rsidR="00A22732" w:rsidRDefault="00A22732" w:rsidP="00BD6374">
    <w:pPr>
      <w:jc w:val="right"/>
      <w:rPr>
        <w:iCs/>
        <w:color w:val="0000FF"/>
      </w:rPr>
    </w:pPr>
    <w:r>
      <w:rPr>
        <w:noProof/>
      </w:rPr>
      <mc:AlternateContent>
        <mc:Choice Requires="wps">
          <w:drawing>
            <wp:anchor distT="4294967295" distB="4294967295" distL="114300" distR="114300" simplePos="0" relativeHeight="251657728" behindDoc="0" locked="0" layoutInCell="1" allowOverlap="1" wp14:anchorId="4A27E5D9" wp14:editId="77A99404">
              <wp:simplePos x="0" y="0"/>
              <wp:positionH relativeFrom="column">
                <wp:posOffset>-62865</wp:posOffset>
              </wp:positionH>
              <wp:positionV relativeFrom="paragraph">
                <wp:posOffset>170179</wp:posOffset>
              </wp:positionV>
              <wp:extent cx="65151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3.4pt" to="508.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Gm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"/>
          </w:pict>
        </mc:Fallback>
      </mc:AlternateContent>
    </w:r>
    <w:r>
      <w:rPr>
        <w:iCs/>
        <w:color w:val="0000FF"/>
      </w:rPr>
      <w:t>Facility #, Project #</w:t>
    </w:r>
  </w:p>
  <w:p w:rsidR="00A22732" w:rsidRDefault="00A2273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A67"/>
    <w:multiLevelType w:val="hybridMultilevel"/>
    <w:tmpl w:val="2F043166"/>
    <w:lvl w:ilvl="0" w:tplc="A430777C">
      <w:start w:val="8"/>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18BE5757"/>
    <w:multiLevelType w:val="singleLevel"/>
    <w:tmpl w:val="D5CA47A8"/>
    <w:lvl w:ilvl="0">
      <w:start w:val="1"/>
      <w:numFmt w:val="decimal"/>
      <w:lvlText w:val="%1."/>
      <w:lvlJc w:val="left"/>
      <w:pPr>
        <w:tabs>
          <w:tab w:val="num" w:pos="1800"/>
        </w:tabs>
        <w:ind w:left="1800" w:hanging="360"/>
      </w:pPr>
      <w:rPr>
        <w:rFonts w:hint="default"/>
      </w:rPr>
    </w:lvl>
  </w:abstractNum>
  <w:abstractNum w:abstractNumId="2">
    <w:nsid w:val="1CC73C5B"/>
    <w:multiLevelType w:val="hybridMultilevel"/>
    <w:tmpl w:val="849A937A"/>
    <w:lvl w:ilvl="0" w:tplc="04090001">
      <w:start w:val="1"/>
      <w:numFmt w:val="bullet"/>
      <w:lvlText w:val=""/>
      <w:lvlJc w:val="left"/>
      <w:pPr>
        <w:tabs>
          <w:tab w:val="num" w:pos="2448"/>
        </w:tabs>
        <w:ind w:left="2448" w:hanging="360"/>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3">
    <w:nsid w:val="1D7B1D8B"/>
    <w:multiLevelType w:val="hybridMultilevel"/>
    <w:tmpl w:val="B02E6400"/>
    <w:lvl w:ilvl="0" w:tplc="B2F880E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06737C"/>
    <w:multiLevelType w:val="singleLevel"/>
    <w:tmpl w:val="36CCB21A"/>
    <w:lvl w:ilvl="0">
      <w:start w:val="1"/>
      <w:numFmt w:val="decimal"/>
      <w:lvlText w:val="%1."/>
      <w:lvlJc w:val="left"/>
      <w:pPr>
        <w:tabs>
          <w:tab w:val="num" w:pos="1800"/>
        </w:tabs>
        <w:ind w:left="1800" w:hanging="360"/>
      </w:pPr>
      <w:rPr>
        <w:rFonts w:hint="default"/>
      </w:rPr>
    </w:lvl>
  </w:abstractNum>
  <w:abstractNum w:abstractNumId="5">
    <w:nsid w:val="24743E60"/>
    <w:multiLevelType w:val="singleLevel"/>
    <w:tmpl w:val="61EE6096"/>
    <w:lvl w:ilvl="0">
      <w:start w:val="5"/>
      <w:numFmt w:val="lowerLetter"/>
      <w:lvlText w:val="%1."/>
      <w:lvlJc w:val="left"/>
      <w:pPr>
        <w:tabs>
          <w:tab w:val="num" w:pos="1800"/>
        </w:tabs>
        <w:ind w:left="1800" w:hanging="360"/>
      </w:pPr>
      <w:rPr>
        <w:rFonts w:hint="default"/>
      </w:rPr>
    </w:lvl>
  </w:abstractNum>
  <w:abstractNum w:abstractNumId="6">
    <w:nsid w:val="29F14C33"/>
    <w:multiLevelType w:val="singleLevel"/>
    <w:tmpl w:val="1C1E32F8"/>
    <w:lvl w:ilvl="0">
      <w:start w:val="1"/>
      <w:numFmt w:val="decimal"/>
      <w:lvlText w:val="%1."/>
      <w:lvlJc w:val="left"/>
      <w:pPr>
        <w:tabs>
          <w:tab w:val="num" w:pos="1800"/>
        </w:tabs>
        <w:ind w:left="1800" w:hanging="360"/>
      </w:pPr>
      <w:rPr>
        <w:rFonts w:hint="default"/>
      </w:rPr>
    </w:lvl>
  </w:abstractNum>
  <w:abstractNum w:abstractNumId="7">
    <w:nsid w:val="2AC90A3F"/>
    <w:multiLevelType w:val="hybridMultilevel"/>
    <w:tmpl w:val="A1C0E48C"/>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start w:val="1"/>
      <w:numFmt w:val="bullet"/>
      <w:lvlText w:val=""/>
      <w:lvlJc w:val="left"/>
      <w:pPr>
        <w:ind w:left="3456" w:hanging="360"/>
      </w:pPr>
      <w:rPr>
        <w:rFonts w:ascii="Wingdings" w:hAnsi="Wingdings" w:hint="default"/>
      </w:rPr>
    </w:lvl>
    <w:lvl w:ilvl="3" w:tplc="04090001">
      <w:start w:val="1"/>
      <w:numFmt w:val="bullet"/>
      <w:lvlText w:val=""/>
      <w:lvlJc w:val="left"/>
      <w:pPr>
        <w:ind w:left="4176" w:hanging="360"/>
      </w:pPr>
      <w:rPr>
        <w:rFonts w:ascii="Symbol" w:hAnsi="Symbol" w:hint="default"/>
      </w:rPr>
    </w:lvl>
    <w:lvl w:ilvl="4" w:tplc="04090003">
      <w:start w:val="1"/>
      <w:numFmt w:val="bullet"/>
      <w:lvlText w:val="o"/>
      <w:lvlJc w:val="left"/>
      <w:pPr>
        <w:ind w:left="4896" w:hanging="360"/>
      </w:pPr>
      <w:rPr>
        <w:rFonts w:ascii="Courier New" w:hAnsi="Courier New" w:cs="Courier New" w:hint="default"/>
      </w:rPr>
    </w:lvl>
    <w:lvl w:ilvl="5" w:tplc="04090005">
      <w:start w:val="1"/>
      <w:numFmt w:val="bullet"/>
      <w:lvlText w:val=""/>
      <w:lvlJc w:val="left"/>
      <w:pPr>
        <w:ind w:left="5616" w:hanging="360"/>
      </w:pPr>
      <w:rPr>
        <w:rFonts w:ascii="Wingdings" w:hAnsi="Wingdings" w:hint="default"/>
      </w:rPr>
    </w:lvl>
    <w:lvl w:ilvl="6" w:tplc="04090001">
      <w:start w:val="1"/>
      <w:numFmt w:val="bullet"/>
      <w:lvlText w:val=""/>
      <w:lvlJc w:val="left"/>
      <w:pPr>
        <w:ind w:left="6336" w:hanging="360"/>
      </w:pPr>
      <w:rPr>
        <w:rFonts w:ascii="Symbol" w:hAnsi="Symbol" w:hint="default"/>
      </w:rPr>
    </w:lvl>
    <w:lvl w:ilvl="7" w:tplc="04090003">
      <w:start w:val="1"/>
      <w:numFmt w:val="bullet"/>
      <w:lvlText w:val="o"/>
      <w:lvlJc w:val="left"/>
      <w:pPr>
        <w:ind w:left="7056" w:hanging="360"/>
      </w:pPr>
      <w:rPr>
        <w:rFonts w:ascii="Courier New" w:hAnsi="Courier New" w:cs="Courier New" w:hint="default"/>
      </w:rPr>
    </w:lvl>
    <w:lvl w:ilvl="8" w:tplc="04090005">
      <w:start w:val="1"/>
      <w:numFmt w:val="bullet"/>
      <w:lvlText w:val=""/>
      <w:lvlJc w:val="left"/>
      <w:pPr>
        <w:ind w:left="7776" w:hanging="360"/>
      </w:pPr>
      <w:rPr>
        <w:rFonts w:ascii="Wingdings" w:hAnsi="Wingdings" w:hint="default"/>
      </w:rPr>
    </w:lvl>
  </w:abstractNum>
  <w:abstractNum w:abstractNumId="8">
    <w:nsid w:val="31AB25DA"/>
    <w:multiLevelType w:val="hybridMultilevel"/>
    <w:tmpl w:val="CCBE0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AE4537"/>
    <w:multiLevelType w:val="singleLevel"/>
    <w:tmpl w:val="33E6772C"/>
    <w:lvl w:ilvl="0">
      <w:start w:val="5"/>
      <w:numFmt w:val="lowerLetter"/>
      <w:lvlText w:val="%1."/>
      <w:lvlJc w:val="left"/>
      <w:pPr>
        <w:tabs>
          <w:tab w:val="num" w:pos="1800"/>
        </w:tabs>
        <w:ind w:left="1800" w:hanging="360"/>
      </w:pPr>
      <w:rPr>
        <w:rFonts w:hint="default"/>
      </w:rPr>
    </w:lvl>
  </w:abstractNum>
  <w:abstractNum w:abstractNumId="10">
    <w:nsid w:val="382B7CE1"/>
    <w:multiLevelType w:val="hybridMultilevel"/>
    <w:tmpl w:val="A9DE372A"/>
    <w:lvl w:ilvl="0" w:tplc="B13274A0">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DA44E1"/>
    <w:multiLevelType w:val="singleLevel"/>
    <w:tmpl w:val="724426D8"/>
    <w:lvl w:ilvl="0">
      <w:start w:val="1"/>
      <w:numFmt w:val="lowerLetter"/>
      <w:lvlText w:val="%1)"/>
      <w:lvlJc w:val="left"/>
      <w:pPr>
        <w:tabs>
          <w:tab w:val="num" w:pos="1440"/>
        </w:tabs>
        <w:ind w:left="1440" w:hanging="720"/>
      </w:pPr>
      <w:rPr>
        <w:rFonts w:hint="default"/>
      </w:rPr>
    </w:lvl>
  </w:abstractNum>
  <w:abstractNum w:abstractNumId="12">
    <w:nsid w:val="44C4573C"/>
    <w:multiLevelType w:val="hybridMultilevel"/>
    <w:tmpl w:val="B0CAEC1A"/>
    <w:lvl w:ilvl="0" w:tplc="77DA6D9A">
      <w:start w:val="1"/>
      <w:numFmt w:val="bullet"/>
      <w:lvlText w:val=""/>
      <w:lvlJc w:val="left"/>
      <w:pPr>
        <w:tabs>
          <w:tab w:val="num" w:pos="1440"/>
        </w:tabs>
        <w:ind w:left="1440" w:hanging="720"/>
      </w:pPr>
      <w:rPr>
        <w:rFonts w:ascii="Symbol" w:hAnsi="Symbol" w:hint="default"/>
        <w:color w:val="auto"/>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5EB1B84"/>
    <w:multiLevelType w:val="singleLevel"/>
    <w:tmpl w:val="AB6E1162"/>
    <w:lvl w:ilvl="0">
      <w:start w:val="1"/>
      <w:numFmt w:val="decimal"/>
      <w:lvlText w:val="%1."/>
      <w:lvlJc w:val="left"/>
      <w:pPr>
        <w:tabs>
          <w:tab w:val="num" w:pos="1800"/>
        </w:tabs>
        <w:ind w:left="1800" w:hanging="360"/>
      </w:pPr>
      <w:rPr>
        <w:rFonts w:hint="default"/>
      </w:rPr>
    </w:lvl>
  </w:abstractNum>
  <w:abstractNum w:abstractNumId="14">
    <w:nsid w:val="46950754"/>
    <w:multiLevelType w:val="hybridMultilevel"/>
    <w:tmpl w:val="C78AA11E"/>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nsid w:val="4D2E195C"/>
    <w:multiLevelType w:val="singleLevel"/>
    <w:tmpl w:val="45F0600A"/>
    <w:lvl w:ilvl="0">
      <w:start w:val="1"/>
      <w:numFmt w:val="upperLetter"/>
      <w:lvlText w:val="%1."/>
      <w:lvlJc w:val="left"/>
      <w:pPr>
        <w:tabs>
          <w:tab w:val="num" w:pos="1080"/>
        </w:tabs>
        <w:ind w:left="1080" w:hanging="360"/>
      </w:pPr>
      <w:rPr>
        <w:rFonts w:hint="default"/>
        <w:b/>
      </w:rPr>
    </w:lvl>
  </w:abstractNum>
  <w:abstractNum w:abstractNumId="16">
    <w:nsid w:val="4DA74ED3"/>
    <w:multiLevelType w:val="singleLevel"/>
    <w:tmpl w:val="5B6C97B8"/>
    <w:lvl w:ilvl="0">
      <w:start w:val="1"/>
      <w:numFmt w:val="upperLetter"/>
      <w:lvlText w:val="%1."/>
      <w:lvlJc w:val="left"/>
      <w:pPr>
        <w:tabs>
          <w:tab w:val="num" w:pos="1440"/>
        </w:tabs>
        <w:ind w:left="1440" w:hanging="720"/>
      </w:pPr>
      <w:rPr>
        <w:rFonts w:hint="default"/>
      </w:rPr>
    </w:lvl>
  </w:abstractNum>
  <w:abstractNum w:abstractNumId="17">
    <w:nsid w:val="50312358"/>
    <w:multiLevelType w:val="hybridMultilevel"/>
    <w:tmpl w:val="34D8A8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3F63E56"/>
    <w:multiLevelType w:val="hybridMultilevel"/>
    <w:tmpl w:val="DE76FBEE"/>
    <w:lvl w:ilvl="0" w:tplc="04090015">
      <w:start w:val="1"/>
      <w:numFmt w:val="upperLetter"/>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54923D8B"/>
    <w:multiLevelType w:val="hybridMultilevel"/>
    <w:tmpl w:val="82A0CD9A"/>
    <w:lvl w:ilvl="0" w:tplc="04090001">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20">
    <w:nsid w:val="56D61B80"/>
    <w:multiLevelType w:val="singleLevel"/>
    <w:tmpl w:val="7F1CC870"/>
    <w:lvl w:ilvl="0">
      <w:start w:val="5"/>
      <w:numFmt w:val="lowerLetter"/>
      <w:lvlText w:val="%1."/>
      <w:lvlJc w:val="left"/>
      <w:pPr>
        <w:tabs>
          <w:tab w:val="num" w:pos="1800"/>
        </w:tabs>
        <w:ind w:left="1800" w:hanging="360"/>
      </w:pPr>
      <w:rPr>
        <w:rFonts w:hint="default"/>
      </w:rPr>
    </w:lvl>
  </w:abstractNum>
  <w:abstractNum w:abstractNumId="21">
    <w:nsid w:val="5A830F1F"/>
    <w:multiLevelType w:val="hybridMultilevel"/>
    <w:tmpl w:val="75605B26"/>
    <w:lvl w:ilvl="0" w:tplc="EAA4496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E3B3896"/>
    <w:multiLevelType w:val="hybridMultilevel"/>
    <w:tmpl w:val="CC9AD79A"/>
    <w:lvl w:ilvl="0" w:tplc="B9F6864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E582F57"/>
    <w:multiLevelType w:val="hybridMultilevel"/>
    <w:tmpl w:val="D52A2658"/>
    <w:lvl w:ilvl="0" w:tplc="612E921C">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4">
    <w:nsid w:val="64E6056F"/>
    <w:multiLevelType w:val="multilevel"/>
    <w:tmpl w:val="5A6E8162"/>
    <w:lvl w:ilvl="0">
      <w:start w:val="1"/>
      <w:numFmt w:val="upperRoman"/>
      <w:suff w:val="nothing"/>
      <w:lvlText w:val="%1.  "/>
      <w:lvlJc w:val="left"/>
      <w:pPr>
        <w:ind w:left="0" w:firstLine="0"/>
      </w:pPr>
    </w:lvl>
    <w:lvl w:ilvl="1">
      <w:start w:val="1"/>
      <w:numFmt w:val="upperLetter"/>
      <w:suff w:val="nothing"/>
      <w:lvlText w:val="%2.  "/>
      <w:lvlJc w:val="left"/>
      <w:pPr>
        <w:ind w:left="360" w:firstLine="0"/>
      </w:pPr>
    </w:lvl>
    <w:lvl w:ilvl="2">
      <w:start w:val="1"/>
      <w:numFmt w:val="decimal"/>
      <w:suff w:val="nothing"/>
      <w:lvlText w:val="%3.   "/>
      <w:lvlJc w:val="left"/>
      <w:pPr>
        <w:ind w:left="720" w:firstLine="0"/>
      </w:pPr>
    </w:lvl>
    <w:lvl w:ilvl="3">
      <w:start w:val="1"/>
      <w:numFmt w:val="lowerLetter"/>
      <w:suff w:val="nothing"/>
      <w:lvlText w:val="%4)  "/>
      <w:lvlJc w:val="left"/>
      <w:pPr>
        <w:ind w:left="1080" w:firstLine="0"/>
      </w:pPr>
    </w:lvl>
    <w:lvl w:ilvl="4">
      <w:start w:val="1"/>
      <w:numFmt w:val="decimal"/>
      <w:lvlText w:val="(%5)"/>
      <w:lvlJc w:val="left"/>
      <w:pPr>
        <w:tabs>
          <w:tab w:val="num" w:pos="1800"/>
        </w:tabs>
        <w:ind w:left="1440" w:firstLine="0"/>
      </w:pPr>
    </w:lvl>
    <w:lvl w:ilvl="5">
      <w:start w:val="1"/>
      <w:numFmt w:val="lowerLetter"/>
      <w:lvlText w:val="(%6)"/>
      <w:lvlJc w:val="left"/>
      <w:pPr>
        <w:tabs>
          <w:tab w:val="num" w:pos="2160"/>
        </w:tabs>
        <w:ind w:left="18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25">
    <w:nsid w:val="68D33D3B"/>
    <w:multiLevelType w:val="singleLevel"/>
    <w:tmpl w:val="5C548B72"/>
    <w:lvl w:ilvl="0">
      <w:start w:val="2"/>
      <w:numFmt w:val="upperLetter"/>
      <w:lvlText w:val="%1."/>
      <w:lvlJc w:val="left"/>
      <w:pPr>
        <w:tabs>
          <w:tab w:val="num" w:pos="1080"/>
        </w:tabs>
        <w:ind w:left="1080" w:hanging="360"/>
      </w:pPr>
      <w:rPr>
        <w:rFonts w:hint="default"/>
      </w:rPr>
    </w:lvl>
  </w:abstractNum>
  <w:abstractNum w:abstractNumId="26">
    <w:nsid w:val="6A9E0411"/>
    <w:multiLevelType w:val="hybridMultilevel"/>
    <w:tmpl w:val="0524AF3A"/>
    <w:lvl w:ilvl="0" w:tplc="A928D5E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ABD2F0E"/>
    <w:multiLevelType w:val="singleLevel"/>
    <w:tmpl w:val="E0828FBE"/>
    <w:lvl w:ilvl="0">
      <w:start w:val="1"/>
      <w:numFmt w:val="decimal"/>
      <w:lvlText w:val="%1."/>
      <w:lvlJc w:val="left"/>
      <w:pPr>
        <w:tabs>
          <w:tab w:val="num" w:pos="1800"/>
        </w:tabs>
        <w:ind w:left="1800" w:hanging="360"/>
      </w:pPr>
      <w:rPr>
        <w:rFonts w:hint="default"/>
      </w:rPr>
    </w:lvl>
  </w:abstractNum>
  <w:abstractNum w:abstractNumId="28">
    <w:nsid w:val="6B9E5F8F"/>
    <w:multiLevelType w:val="singleLevel"/>
    <w:tmpl w:val="79985998"/>
    <w:lvl w:ilvl="0">
      <w:start w:val="1"/>
      <w:numFmt w:val="decimal"/>
      <w:lvlText w:val="%1."/>
      <w:lvlJc w:val="left"/>
      <w:pPr>
        <w:tabs>
          <w:tab w:val="num" w:pos="1800"/>
        </w:tabs>
        <w:ind w:left="1800" w:hanging="360"/>
      </w:pPr>
      <w:rPr>
        <w:rFonts w:hint="default"/>
      </w:rPr>
    </w:lvl>
  </w:abstractNum>
  <w:abstractNum w:abstractNumId="29">
    <w:nsid w:val="6BAC0235"/>
    <w:multiLevelType w:val="singleLevel"/>
    <w:tmpl w:val="C61A7D86"/>
    <w:lvl w:ilvl="0">
      <w:start w:val="1"/>
      <w:numFmt w:val="upperLetter"/>
      <w:lvlText w:val="%1."/>
      <w:lvlJc w:val="left"/>
      <w:pPr>
        <w:tabs>
          <w:tab w:val="num" w:pos="1080"/>
        </w:tabs>
        <w:ind w:left="1080" w:hanging="360"/>
      </w:pPr>
      <w:rPr>
        <w:rFonts w:hint="default"/>
        <w:b/>
      </w:rPr>
    </w:lvl>
  </w:abstractNum>
  <w:abstractNum w:abstractNumId="30">
    <w:nsid w:val="6D3A122C"/>
    <w:multiLevelType w:val="hybridMultilevel"/>
    <w:tmpl w:val="C1DA83E0"/>
    <w:lvl w:ilvl="0" w:tplc="2D600150">
      <w:start w:val="254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DC74A87"/>
    <w:multiLevelType w:val="singleLevel"/>
    <w:tmpl w:val="E0189630"/>
    <w:lvl w:ilvl="0">
      <w:start w:val="2"/>
      <w:numFmt w:val="lowerLetter"/>
      <w:lvlText w:val="%1)"/>
      <w:lvlJc w:val="left"/>
      <w:pPr>
        <w:tabs>
          <w:tab w:val="num" w:pos="1440"/>
        </w:tabs>
        <w:ind w:left="1440" w:hanging="720"/>
      </w:pPr>
      <w:rPr>
        <w:rFonts w:hint="default"/>
      </w:rPr>
    </w:lvl>
  </w:abstractNum>
  <w:abstractNum w:abstractNumId="32">
    <w:nsid w:val="703B5552"/>
    <w:multiLevelType w:val="singleLevel"/>
    <w:tmpl w:val="09403734"/>
    <w:lvl w:ilvl="0">
      <w:start w:val="1"/>
      <w:numFmt w:val="lowerLetter"/>
      <w:lvlText w:val="%1."/>
      <w:lvlJc w:val="left"/>
      <w:pPr>
        <w:tabs>
          <w:tab w:val="num" w:pos="1800"/>
        </w:tabs>
        <w:ind w:left="1800" w:hanging="360"/>
      </w:pPr>
      <w:rPr>
        <w:rFonts w:hint="default"/>
      </w:rPr>
    </w:lvl>
  </w:abstractNum>
  <w:abstractNum w:abstractNumId="33">
    <w:nsid w:val="723226AD"/>
    <w:multiLevelType w:val="hybridMultilevel"/>
    <w:tmpl w:val="F60CB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A1221F"/>
    <w:multiLevelType w:val="hybridMultilevel"/>
    <w:tmpl w:val="11CC3830"/>
    <w:lvl w:ilvl="0" w:tplc="BE345D9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9144EC8"/>
    <w:multiLevelType w:val="singleLevel"/>
    <w:tmpl w:val="38488FC0"/>
    <w:lvl w:ilvl="0">
      <w:start w:val="1"/>
      <w:numFmt w:val="decimal"/>
      <w:lvlText w:val="%1."/>
      <w:lvlJc w:val="left"/>
      <w:pPr>
        <w:tabs>
          <w:tab w:val="num" w:pos="1800"/>
        </w:tabs>
        <w:ind w:left="1800" w:hanging="360"/>
      </w:pPr>
      <w:rPr>
        <w:rFonts w:hint="default"/>
      </w:rPr>
    </w:lvl>
  </w:abstractNum>
  <w:abstractNum w:abstractNumId="36">
    <w:nsid w:val="7C93760E"/>
    <w:multiLevelType w:val="singleLevel"/>
    <w:tmpl w:val="045CB208"/>
    <w:lvl w:ilvl="0">
      <w:start w:val="3"/>
      <w:numFmt w:val="upperLetter"/>
      <w:pStyle w:val="Heading8"/>
      <w:lvlText w:val=""/>
      <w:lvlJc w:val="left"/>
      <w:pPr>
        <w:tabs>
          <w:tab w:val="num" w:pos="1080"/>
        </w:tabs>
        <w:ind w:left="1080" w:hanging="360"/>
      </w:pPr>
      <w:rPr>
        <w:rFonts w:ascii="Times New Roman" w:hAnsi="Times New Roman" w:hint="default"/>
      </w:rPr>
    </w:lvl>
  </w:abstractNum>
  <w:abstractNum w:abstractNumId="37">
    <w:nsid w:val="7D626E43"/>
    <w:multiLevelType w:val="singleLevel"/>
    <w:tmpl w:val="804C79AC"/>
    <w:lvl w:ilvl="0">
      <w:start w:val="4"/>
      <w:numFmt w:val="upperLetter"/>
      <w:lvlText w:val="%1."/>
      <w:lvlJc w:val="left"/>
      <w:pPr>
        <w:tabs>
          <w:tab w:val="num" w:pos="1440"/>
        </w:tabs>
        <w:ind w:left="1440" w:hanging="720"/>
      </w:pPr>
      <w:rPr>
        <w:rFonts w:hint="default"/>
      </w:rPr>
    </w:lvl>
  </w:abstractNum>
  <w:num w:numId="1">
    <w:abstractNumId w:val="16"/>
  </w:num>
  <w:num w:numId="2">
    <w:abstractNumId w:val="25"/>
  </w:num>
  <w:num w:numId="3">
    <w:abstractNumId w:val="15"/>
  </w:num>
  <w:num w:numId="4">
    <w:abstractNumId w:val="29"/>
  </w:num>
  <w:num w:numId="5">
    <w:abstractNumId w:val="36"/>
  </w:num>
  <w:num w:numId="6">
    <w:abstractNumId w:val="13"/>
  </w:num>
  <w:num w:numId="7">
    <w:abstractNumId w:val="35"/>
  </w:num>
  <w:num w:numId="8">
    <w:abstractNumId w:val="6"/>
  </w:num>
  <w:num w:numId="9">
    <w:abstractNumId w:val="27"/>
  </w:num>
  <w:num w:numId="10">
    <w:abstractNumId w:val="28"/>
  </w:num>
  <w:num w:numId="11">
    <w:abstractNumId w:val="37"/>
  </w:num>
  <w:num w:numId="12">
    <w:abstractNumId w:val="32"/>
  </w:num>
  <w:num w:numId="13">
    <w:abstractNumId w:val="4"/>
  </w:num>
  <w:num w:numId="14">
    <w:abstractNumId w:val="1"/>
  </w:num>
  <w:num w:numId="15">
    <w:abstractNumId w:val="31"/>
  </w:num>
  <w:num w:numId="16">
    <w:abstractNumId w:val="9"/>
  </w:num>
  <w:num w:numId="17">
    <w:abstractNumId w:val="5"/>
  </w:num>
  <w:num w:numId="18">
    <w:abstractNumId w:val="20"/>
  </w:num>
  <w:num w:numId="19">
    <w:abstractNumId w:val="11"/>
  </w:num>
  <w:num w:numId="20">
    <w:abstractNumId w:val="26"/>
  </w:num>
  <w:num w:numId="21">
    <w:abstractNumId w:val="10"/>
  </w:num>
  <w:num w:numId="22">
    <w:abstractNumId w:val="23"/>
  </w:num>
  <w:num w:numId="23">
    <w:abstractNumId w:val="2"/>
  </w:num>
  <w:num w:numId="24">
    <w:abstractNumId w:val="17"/>
  </w:num>
  <w:num w:numId="25">
    <w:abstractNumId w:val="19"/>
  </w:num>
  <w:num w:numId="26">
    <w:abstractNumId w:val="12"/>
  </w:num>
  <w:num w:numId="27">
    <w:abstractNumId w:val="14"/>
  </w:num>
  <w:num w:numId="28">
    <w:abstractNumId w:val="0"/>
  </w:num>
  <w:num w:numId="29">
    <w:abstractNumId w:val="34"/>
  </w:num>
  <w:num w:numId="30">
    <w:abstractNumId w:val="22"/>
  </w:num>
  <w:num w:numId="31">
    <w:abstractNumId w:val="30"/>
  </w:num>
  <w:num w:numId="32">
    <w:abstractNumId w:val="21"/>
  </w:num>
  <w:num w:numId="33">
    <w:abstractNumId w:val="33"/>
  </w:num>
  <w:num w:numId="34">
    <w:abstractNumId w:val="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8"/>
  </w:num>
  <w:num w:numId="38">
    <w:abstractNumId w:val="24"/>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37"/>
    <w:rsid w:val="00003C8E"/>
    <w:rsid w:val="00030018"/>
    <w:rsid w:val="00040B72"/>
    <w:rsid w:val="000511CA"/>
    <w:rsid w:val="000710BE"/>
    <w:rsid w:val="000867CC"/>
    <w:rsid w:val="000A1AC6"/>
    <w:rsid w:val="000E4515"/>
    <w:rsid w:val="000F7376"/>
    <w:rsid w:val="001060D1"/>
    <w:rsid w:val="0012075E"/>
    <w:rsid w:val="00166893"/>
    <w:rsid w:val="001A46E2"/>
    <w:rsid w:val="001A7F38"/>
    <w:rsid w:val="001C4240"/>
    <w:rsid w:val="001E15B1"/>
    <w:rsid w:val="00207269"/>
    <w:rsid w:val="002366F4"/>
    <w:rsid w:val="002403F2"/>
    <w:rsid w:val="0026009F"/>
    <w:rsid w:val="00281BDE"/>
    <w:rsid w:val="002878C5"/>
    <w:rsid w:val="002B7066"/>
    <w:rsid w:val="002D58D5"/>
    <w:rsid w:val="00311127"/>
    <w:rsid w:val="00311576"/>
    <w:rsid w:val="00316133"/>
    <w:rsid w:val="00316525"/>
    <w:rsid w:val="0031797D"/>
    <w:rsid w:val="00362058"/>
    <w:rsid w:val="003929CA"/>
    <w:rsid w:val="003E237B"/>
    <w:rsid w:val="003F532A"/>
    <w:rsid w:val="00425FA6"/>
    <w:rsid w:val="00430C30"/>
    <w:rsid w:val="0043778C"/>
    <w:rsid w:val="00443BAF"/>
    <w:rsid w:val="0045329B"/>
    <w:rsid w:val="004A2F61"/>
    <w:rsid w:val="004B68AE"/>
    <w:rsid w:val="005107A1"/>
    <w:rsid w:val="00537396"/>
    <w:rsid w:val="005558C3"/>
    <w:rsid w:val="00561704"/>
    <w:rsid w:val="00563F16"/>
    <w:rsid w:val="00573152"/>
    <w:rsid w:val="00574DA7"/>
    <w:rsid w:val="00575356"/>
    <w:rsid w:val="00593043"/>
    <w:rsid w:val="005A10B3"/>
    <w:rsid w:val="005C5DAF"/>
    <w:rsid w:val="005D021C"/>
    <w:rsid w:val="005E75CC"/>
    <w:rsid w:val="005F4E03"/>
    <w:rsid w:val="00602F4B"/>
    <w:rsid w:val="00622980"/>
    <w:rsid w:val="00623DEC"/>
    <w:rsid w:val="006729EB"/>
    <w:rsid w:val="006A481F"/>
    <w:rsid w:val="006A7638"/>
    <w:rsid w:val="006B0360"/>
    <w:rsid w:val="006F6EB9"/>
    <w:rsid w:val="007009EE"/>
    <w:rsid w:val="007205EF"/>
    <w:rsid w:val="00737653"/>
    <w:rsid w:val="00751838"/>
    <w:rsid w:val="00751DD0"/>
    <w:rsid w:val="00777C50"/>
    <w:rsid w:val="007876F9"/>
    <w:rsid w:val="007B2603"/>
    <w:rsid w:val="007C7D0F"/>
    <w:rsid w:val="007D220D"/>
    <w:rsid w:val="00804528"/>
    <w:rsid w:val="008326F3"/>
    <w:rsid w:val="0083525C"/>
    <w:rsid w:val="008439B5"/>
    <w:rsid w:val="00847A63"/>
    <w:rsid w:val="0085713E"/>
    <w:rsid w:val="00864368"/>
    <w:rsid w:val="008B2F73"/>
    <w:rsid w:val="008C26B0"/>
    <w:rsid w:val="008C6344"/>
    <w:rsid w:val="008D1507"/>
    <w:rsid w:val="008F7617"/>
    <w:rsid w:val="009000B5"/>
    <w:rsid w:val="009321FB"/>
    <w:rsid w:val="009561B6"/>
    <w:rsid w:val="00986C78"/>
    <w:rsid w:val="00995539"/>
    <w:rsid w:val="00997086"/>
    <w:rsid w:val="009A4D6E"/>
    <w:rsid w:val="009B0D6C"/>
    <w:rsid w:val="009E097B"/>
    <w:rsid w:val="00A22732"/>
    <w:rsid w:val="00A331EB"/>
    <w:rsid w:val="00A70BBE"/>
    <w:rsid w:val="00A908A4"/>
    <w:rsid w:val="00AD2EF9"/>
    <w:rsid w:val="00AE7034"/>
    <w:rsid w:val="00B34436"/>
    <w:rsid w:val="00B55D76"/>
    <w:rsid w:val="00B6069B"/>
    <w:rsid w:val="00B641AF"/>
    <w:rsid w:val="00B66E44"/>
    <w:rsid w:val="00B71C84"/>
    <w:rsid w:val="00B71C9F"/>
    <w:rsid w:val="00BA0F09"/>
    <w:rsid w:val="00BA211F"/>
    <w:rsid w:val="00BA5A42"/>
    <w:rsid w:val="00BB5EE9"/>
    <w:rsid w:val="00BD6374"/>
    <w:rsid w:val="00BE4B9C"/>
    <w:rsid w:val="00BE529A"/>
    <w:rsid w:val="00BE5E37"/>
    <w:rsid w:val="00C02E15"/>
    <w:rsid w:val="00C22EC0"/>
    <w:rsid w:val="00C2476F"/>
    <w:rsid w:val="00C34342"/>
    <w:rsid w:val="00C358BF"/>
    <w:rsid w:val="00C45E26"/>
    <w:rsid w:val="00C679D5"/>
    <w:rsid w:val="00CE0E38"/>
    <w:rsid w:val="00CF30BC"/>
    <w:rsid w:val="00D30F74"/>
    <w:rsid w:val="00D33ADF"/>
    <w:rsid w:val="00D4307F"/>
    <w:rsid w:val="00D839B4"/>
    <w:rsid w:val="00DC0E65"/>
    <w:rsid w:val="00DC7186"/>
    <w:rsid w:val="00DE6EED"/>
    <w:rsid w:val="00E00431"/>
    <w:rsid w:val="00E00E73"/>
    <w:rsid w:val="00E25CA2"/>
    <w:rsid w:val="00E31669"/>
    <w:rsid w:val="00E702D0"/>
    <w:rsid w:val="00E75B10"/>
    <w:rsid w:val="00E75ED2"/>
    <w:rsid w:val="00EA1806"/>
    <w:rsid w:val="00EC5117"/>
    <w:rsid w:val="00EC7546"/>
    <w:rsid w:val="00ED2CE2"/>
    <w:rsid w:val="00EE1FEE"/>
    <w:rsid w:val="00EE305C"/>
    <w:rsid w:val="00EE43CC"/>
    <w:rsid w:val="00F277F7"/>
    <w:rsid w:val="00F33498"/>
    <w:rsid w:val="00F508EF"/>
    <w:rsid w:val="00F63A41"/>
    <w:rsid w:val="00F672E9"/>
    <w:rsid w:val="00FA1A74"/>
    <w:rsid w:val="00FC595C"/>
    <w:rsid w:val="00FD6FB5"/>
    <w:rsid w:val="00FF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uppressAutoHyphens/>
      <w:jc w:val="center"/>
      <w:outlineLvl w:val="0"/>
    </w:pPr>
    <w:rPr>
      <w:spacing w:val="-3"/>
      <w:sz w:val="48"/>
    </w:rPr>
  </w:style>
  <w:style w:type="paragraph" w:styleId="Heading2">
    <w:name w:val="heading 2"/>
    <w:basedOn w:val="Normal"/>
    <w:next w:val="Normal"/>
    <w:qFormat/>
    <w:pPr>
      <w:keepNext/>
      <w:tabs>
        <w:tab w:val="right" w:pos="8640"/>
      </w:tabs>
      <w:suppressAutoHyphens/>
      <w:outlineLvl w:val="1"/>
    </w:pPr>
    <w:rPr>
      <w:b/>
      <w:spacing w:val="-3"/>
    </w:rPr>
  </w:style>
  <w:style w:type="paragraph" w:styleId="Heading3">
    <w:name w:val="heading 3"/>
    <w:basedOn w:val="Normal"/>
    <w:next w:val="Normal"/>
    <w:qFormat/>
    <w:pPr>
      <w:keepNext/>
      <w:suppressAutoHyphens/>
      <w:jc w:val="center"/>
      <w:outlineLvl w:val="2"/>
    </w:pPr>
    <w:rPr>
      <w:sz w:val="32"/>
    </w:rPr>
  </w:style>
  <w:style w:type="paragraph" w:styleId="Heading4">
    <w:name w:val="heading 4"/>
    <w:basedOn w:val="Normal"/>
    <w:next w:val="Normal"/>
    <w:qFormat/>
    <w:pPr>
      <w:keepNext/>
      <w:suppressAutoHyphens/>
      <w:jc w:val="both"/>
      <w:outlineLvl w:val="3"/>
    </w:pPr>
    <w:rPr>
      <w:b/>
      <w:spacing w:val="-3"/>
    </w:rPr>
  </w:style>
  <w:style w:type="paragraph" w:styleId="Heading5">
    <w:name w:val="heading 5"/>
    <w:basedOn w:val="Normal"/>
    <w:next w:val="Normal"/>
    <w:qFormat/>
    <w:pPr>
      <w:keepNext/>
      <w:suppressAutoHyphens/>
      <w:ind w:hanging="1440"/>
      <w:jc w:val="both"/>
      <w:outlineLvl w:val="4"/>
    </w:pPr>
    <w:rPr>
      <w:b/>
      <w:spacing w:val="-3"/>
    </w:rPr>
  </w:style>
  <w:style w:type="paragraph" w:styleId="Heading6">
    <w:name w:val="heading 6"/>
    <w:basedOn w:val="Normal"/>
    <w:next w:val="Normal"/>
    <w:qFormat/>
    <w:pPr>
      <w:keepNext/>
      <w:suppressAutoHyphens/>
      <w:ind w:firstLine="720"/>
      <w:jc w:val="both"/>
      <w:outlineLvl w:val="5"/>
    </w:pPr>
    <w:rPr>
      <w:b/>
      <w:spacing w:val="-3"/>
    </w:rPr>
  </w:style>
  <w:style w:type="paragraph" w:styleId="Heading7">
    <w:name w:val="heading 7"/>
    <w:basedOn w:val="Normal"/>
    <w:next w:val="Normal"/>
    <w:qFormat/>
    <w:pPr>
      <w:keepNext/>
      <w:ind w:left="720"/>
      <w:outlineLvl w:val="6"/>
    </w:pPr>
    <w:rPr>
      <w:b/>
    </w:rPr>
  </w:style>
  <w:style w:type="paragraph" w:styleId="Heading8">
    <w:name w:val="heading 8"/>
    <w:basedOn w:val="Normal"/>
    <w:next w:val="Normal"/>
    <w:qFormat/>
    <w:pPr>
      <w:keepNext/>
      <w:numPr>
        <w:numId w:val="5"/>
      </w:numPr>
      <w:tabs>
        <w:tab w:val="clear" w:pos="1080"/>
      </w:tabs>
      <w:suppressAutoHyphens/>
      <w:ind w:firstLine="0"/>
      <w:jc w:val="both"/>
      <w:outlineLvl w:val="7"/>
    </w:pPr>
    <w:rPr>
      <w:b/>
      <w:spacing w:val="-3"/>
    </w:rPr>
  </w:style>
  <w:style w:type="paragraph" w:styleId="Heading9">
    <w:name w:val="heading 9"/>
    <w:basedOn w:val="Normal"/>
    <w:next w:val="Normal"/>
    <w:qFormat/>
    <w:pPr>
      <w:keepNext/>
      <w:suppressAutoHyphens/>
      <w:ind w:left="1440"/>
      <w:jc w:val="both"/>
      <w:outlineLvl w:val="8"/>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rFonts w:ascii="Courier" w:hAnsi="Courier"/>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60"/>
    </w:pPr>
    <w:rPr>
      <w:rFonts w:ascii="Times New Roman" w:hAnsi="Times New Roman"/>
      <w:sz w:val="20"/>
    </w:rPr>
  </w:style>
  <w:style w:type="paragraph" w:styleId="BodyTextIndent">
    <w:name w:val="Body Text Indent"/>
    <w:basedOn w:val="Normal"/>
    <w:pPr>
      <w:suppressAutoHyphens/>
      <w:ind w:left="720"/>
      <w:jc w:val="both"/>
    </w:pPr>
    <w:rPr>
      <w:spacing w:val="-3"/>
    </w:rPr>
  </w:style>
  <w:style w:type="paragraph" w:styleId="Title">
    <w:name w:val="Title"/>
    <w:basedOn w:val="Normal"/>
    <w:qFormat/>
    <w:pPr>
      <w:suppressAutoHyphens/>
      <w:jc w:val="center"/>
    </w:pPr>
    <w:rPr>
      <w:b/>
      <w:spacing w:val="-3"/>
      <w:sz w:val="32"/>
    </w:rPr>
  </w:style>
  <w:style w:type="paragraph" w:styleId="BodyTextIndent2">
    <w:name w:val="Body Text Indent 2"/>
    <w:basedOn w:val="Normal"/>
    <w:pPr>
      <w:ind w:left="1440"/>
    </w:pPr>
    <w:rPr>
      <w:snapToGrid w:val="0"/>
    </w:rPr>
  </w:style>
  <w:style w:type="paragraph" w:styleId="BodyTextIndent3">
    <w:name w:val="Body Text Indent 3"/>
    <w:basedOn w:val="Normal"/>
    <w:pPr>
      <w:suppressAutoHyphens/>
      <w:ind w:left="1440"/>
      <w:jc w:val="both"/>
    </w:pPr>
    <w:rPr>
      <w:spacing w:val="-3"/>
    </w:rPr>
  </w:style>
  <w:style w:type="paragraph" w:styleId="BodyText2">
    <w:name w:val="Body Text 2"/>
    <w:basedOn w:val="Normal"/>
    <w:pPr>
      <w:suppressAutoHyphens/>
      <w:spacing w:before="90"/>
      <w:jc w:val="center"/>
    </w:pPr>
    <w:rPr>
      <w:spacing w:val="-3"/>
    </w:rPr>
  </w:style>
  <w:style w:type="paragraph" w:styleId="BodyText3">
    <w:name w:val="Body Text 3"/>
    <w:basedOn w:val="Normal"/>
    <w:pPr>
      <w:suppressAutoHyphens/>
      <w:jc w:val="both"/>
    </w:pPr>
    <w:rPr>
      <w:spacing w:val="-3"/>
    </w:rPr>
  </w:style>
  <w:style w:type="paragraph" w:styleId="Caption">
    <w:name w:val="caption"/>
    <w:basedOn w:val="Normal"/>
    <w:next w:val="Normal"/>
    <w:qFormat/>
    <w:pPr>
      <w:suppressAutoHyphens/>
      <w:ind w:left="1440"/>
      <w:jc w:val="both"/>
    </w:pPr>
    <w:rPr>
      <w:b/>
      <w:szCs w:val="24"/>
    </w:rPr>
  </w:style>
  <w:style w:type="paragraph" w:styleId="EndnoteText">
    <w:name w:val="endnote text"/>
    <w:basedOn w:val="Normal"/>
    <w:semiHidden/>
    <w:rPr>
      <w:spacing w:val="-3"/>
    </w:rPr>
  </w:style>
  <w:style w:type="character" w:customStyle="1" w:styleId="emailstyle15">
    <w:name w:val="emailstyle15"/>
    <w:rPr>
      <w:rFonts w:ascii="Arial" w:hAnsi="Arial" w:cs="Arial"/>
      <w:color w:val="000000"/>
      <w:sz w:val="20"/>
    </w:rPr>
  </w:style>
  <w:style w:type="paragraph" w:customStyle="1" w:styleId="font5">
    <w:name w:val="font5"/>
    <w:basedOn w:val="Normal"/>
    <w:pPr>
      <w:spacing w:before="100" w:beforeAutospacing="1" w:after="100" w:afterAutospacing="1"/>
    </w:pPr>
    <w:rPr>
      <w:rFonts w:eastAsia="Arial Unicode MS" w:cs="Arial"/>
      <w:b/>
      <w:bCs/>
      <w:sz w:val="20"/>
    </w:rPr>
  </w:style>
  <w:style w:type="paragraph" w:customStyle="1" w:styleId="font6">
    <w:name w:val="font6"/>
    <w:basedOn w:val="Normal"/>
    <w:pPr>
      <w:spacing w:before="100" w:beforeAutospacing="1" w:after="100" w:afterAutospacing="1"/>
    </w:pPr>
    <w:rPr>
      <w:rFonts w:eastAsia="Arial Unicode MS" w:cs="Arial"/>
      <w:b/>
      <w:bCs/>
      <w:sz w:val="14"/>
      <w:szCs w:val="14"/>
    </w:rPr>
  </w:style>
  <w:style w:type="paragraph" w:customStyle="1" w:styleId="font7">
    <w:name w:val="font7"/>
    <w:basedOn w:val="Normal"/>
    <w:pPr>
      <w:spacing w:before="100" w:beforeAutospacing="1" w:after="100" w:afterAutospacing="1"/>
    </w:pPr>
    <w:rPr>
      <w:rFonts w:eastAsia="Arial Unicode MS" w:cs="Arial"/>
      <w:sz w:val="20"/>
    </w:rPr>
  </w:style>
  <w:style w:type="paragraph" w:customStyle="1" w:styleId="xl25">
    <w:name w:val="xl25"/>
    <w:basedOn w:val="Normal"/>
    <w:pPr>
      <w:shd w:val="clear" w:color="auto" w:fill="C0C0C0"/>
      <w:spacing w:before="100" w:beforeAutospacing="1" w:after="100" w:afterAutospacing="1"/>
    </w:pPr>
    <w:rPr>
      <w:rFonts w:eastAsia="Arial Unicode MS" w:cs="Arial"/>
      <w:b/>
      <w:bCs/>
      <w:szCs w:val="24"/>
    </w:rPr>
  </w:style>
  <w:style w:type="paragraph" w:customStyle="1" w:styleId="xl26">
    <w:name w:val="xl26"/>
    <w:basedOn w:val="Normal"/>
    <w:pPr>
      <w:shd w:val="clear" w:color="auto" w:fill="FFFFFF"/>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al"/>
    <w:pPr>
      <w:pBdr>
        <w:bottom w:val="single" w:sz="4" w:space="0" w:color="auto"/>
      </w:pBdr>
      <w:shd w:val="clear" w:color="auto" w:fill="FFFFFF"/>
      <w:spacing w:before="100" w:beforeAutospacing="1" w:after="100" w:afterAutospacing="1"/>
      <w:jc w:val="right"/>
    </w:pPr>
    <w:rPr>
      <w:rFonts w:eastAsia="Arial Unicode MS" w:cs="Arial"/>
      <w:color w:val="FF0000"/>
      <w:szCs w:val="24"/>
    </w:rPr>
  </w:style>
  <w:style w:type="paragraph" w:customStyle="1" w:styleId="xl28">
    <w:name w:val="xl28"/>
    <w:basedOn w:val="Normal"/>
    <w:pPr>
      <w:pBdr>
        <w:bottom w:val="single" w:sz="4" w:space="0" w:color="auto"/>
      </w:pBdr>
      <w:shd w:val="clear" w:color="auto" w:fill="FFFFFF"/>
      <w:spacing w:before="100" w:beforeAutospacing="1" w:after="100" w:afterAutospacing="1"/>
    </w:pPr>
    <w:rPr>
      <w:rFonts w:eastAsia="Arial Unicode MS" w:cs="Arial"/>
      <w:szCs w:val="24"/>
    </w:rPr>
  </w:style>
  <w:style w:type="paragraph" w:customStyle="1" w:styleId="xl29">
    <w:name w:val="xl29"/>
    <w:basedOn w:val="Normal"/>
    <w:pPr>
      <w:pBdr>
        <w:left w:val="single" w:sz="4" w:space="0" w:color="auto"/>
        <w:bottom w:val="single" w:sz="4" w:space="0" w:color="auto"/>
      </w:pBdr>
      <w:shd w:val="clear" w:color="auto" w:fill="FFFFFF"/>
      <w:spacing w:before="100" w:beforeAutospacing="1" w:after="100" w:afterAutospacing="1"/>
      <w:jc w:val="right"/>
    </w:pPr>
    <w:rPr>
      <w:rFonts w:eastAsia="Arial Unicode MS" w:cs="Arial"/>
      <w:color w:val="FF0000"/>
      <w:szCs w:val="24"/>
    </w:rPr>
  </w:style>
  <w:style w:type="paragraph" w:customStyle="1" w:styleId="xl30">
    <w:name w:val="xl30"/>
    <w:basedOn w:val="Normal"/>
    <w:pPr>
      <w:pBdr>
        <w:bottom w:val="single" w:sz="4" w:space="0" w:color="auto"/>
        <w:right w:val="single" w:sz="4" w:space="0" w:color="auto"/>
      </w:pBdr>
      <w:shd w:val="clear" w:color="auto" w:fill="FFFFFF"/>
      <w:spacing w:before="100" w:beforeAutospacing="1" w:after="100" w:afterAutospacing="1"/>
    </w:pPr>
    <w:rPr>
      <w:rFonts w:eastAsia="Arial Unicode MS" w:cs="Arial"/>
      <w:szCs w:val="24"/>
    </w:rPr>
  </w:style>
  <w:style w:type="paragraph" w:customStyle="1" w:styleId="xl31">
    <w:name w:val="xl31"/>
    <w:basedOn w:val="Normal"/>
    <w:pPr>
      <w:pBdr>
        <w:left w:val="single" w:sz="4" w:space="0" w:color="auto"/>
        <w:bottom w:val="single" w:sz="4" w:space="0" w:color="auto"/>
      </w:pBdr>
      <w:shd w:val="clear" w:color="auto" w:fill="FFFFFF"/>
      <w:spacing w:before="100" w:beforeAutospacing="1" w:after="100" w:afterAutospacing="1"/>
      <w:jc w:val="right"/>
    </w:pPr>
    <w:rPr>
      <w:rFonts w:eastAsia="Arial Unicode MS" w:cs="Arial"/>
      <w:color w:val="008000"/>
      <w:szCs w:val="24"/>
    </w:rPr>
  </w:style>
  <w:style w:type="paragraph" w:customStyle="1" w:styleId="xl32">
    <w:name w:val="xl32"/>
    <w:basedOn w:val="Normal"/>
    <w:pPr>
      <w:pBdr>
        <w:bottom w:val="single" w:sz="4" w:space="0" w:color="auto"/>
        <w:right w:val="single" w:sz="4" w:space="0" w:color="auto"/>
      </w:pBdr>
      <w:shd w:val="clear" w:color="auto" w:fill="FFFFFF"/>
      <w:spacing w:before="100" w:beforeAutospacing="1" w:after="100" w:afterAutospacing="1"/>
    </w:pPr>
    <w:rPr>
      <w:rFonts w:eastAsia="Arial Unicode MS" w:cs="Arial"/>
      <w:color w:val="000000"/>
      <w:szCs w:val="24"/>
    </w:rPr>
  </w:style>
  <w:style w:type="paragraph" w:customStyle="1" w:styleId="xl33">
    <w:name w:val="xl33"/>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szCs w:val="24"/>
    </w:rPr>
  </w:style>
  <w:style w:type="paragraph" w:customStyle="1" w:styleId="xl34">
    <w:name w:val="xl34"/>
    <w:basedOn w:val="Normal"/>
    <w:pPr>
      <w:pBdr>
        <w:top w:val="single" w:sz="4" w:space="0" w:color="auto"/>
      </w:pBdr>
      <w:shd w:val="clear" w:color="auto" w:fill="FFFFFF"/>
      <w:spacing w:before="100" w:beforeAutospacing="1" w:after="100" w:afterAutospacing="1"/>
      <w:jc w:val="right"/>
    </w:pPr>
    <w:rPr>
      <w:rFonts w:ascii="Arial Unicode MS" w:eastAsia="Arial Unicode MS" w:hAnsi="Arial Unicode MS" w:cs="Arial Unicode MS"/>
      <w:szCs w:val="24"/>
    </w:rPr>
  </w:style>
  <w:style w:type="paragraph" w:customStyle="1" w:styleId="xl35">
    <w:name w:val="xl35"/>
    <w:basedOn w:val="Normal"/>
    <w:pPr>
      <w:pBdr>
        <w:top w:val="single" w:sz="4" w:space="0" w:color="auto"/>
        <w:right w:val="single" w:sz="4" w:space="0" w:color="auto"/>
      </w:pBdr>
      <w:shd w:val="clear" w:color="auto" w:fill="FFFFFF"/>
      <w:spacing w:before="100" w:beforeAutospacing="1" w:after="100" w:afterAutospacing="1"/>
    </w:pPr>
    <w:rPr>
      <w:rFonts w:eastAsia="Arial Unicode MS" w:cs="Arial"/>
      <w:szCs w:val="24"/>
    </w:rPr>
  </w:style>
  <w:style w:type="paragraph" w:customStyle="1" w:styleId="xl36">
    <w:name w:val="xl36"/>
    <w:basedOn w:val="Normal"/>
    <w:pPr>
      <w:pBdr>
        <w:right w:val="single" w:sz="4" w:space="0" w:color="auto"/>
      </w:pBdr>
      <w:shd w:val="clear" w:color="auto" w:fill="FFFFFF"/>
      <w:spacing w:before="100" w:beforeAutospacing="1" w:after="100" w:afterAutospacing="1"/>
    </w:pPr>
    <w:rPr>
      <w:rFonts w:eastAsia="Arial Unicode MS" w:cs="Arial"/>
      <w:color w:val="FF0000"/>
      <w:szCs w:val="24"/>
    </w:rPr>
  </w:style>
  <w:style w:type="paragraph" w:customStyle="1" w:styleId="xl37">
    <w:name w:val="xl37"/>
    <w:basedOn w:val="Normal"/>
    <w:pPr>
      <w:pBdr>
        <w:top w:val="single" w:sz="4" w:space="0" w:color="auto"/>
        <w:left w:val="single" w:sz="4" w:space="0" w:color="auto"/>
      </w:pBdr>
      <w:shd w:val="clear" w:color="auto" w:fill="FFFFFF"/>
      <w:spacing w:before="100" w:beforeAutospacing="1" w:after="100" w:afterAutospacing="1"/>
      <w:jc w:val="right"/>
    </w:pPr>
    <w:rPr>
      <w:rFonts w:eastAsia="Arial Unicode MS" w:cs="Arial"/>
      <w:color w:val="008000"/>
      <w:szCs w:val="24"/>
    </w:rPr>
  </w:style>
  <w:style w:type="paragraph" w:customStyle="1" w:styleId="xl38">
    <w:name w:val="xl38"/>
    <w:basedOn w:val="Normal"/>
    <w:pPr>
      <w:pBdr>
        <w:right w:val="single" w:sz="4" w:space="0" w:color="auto"/>
      </w:pBdr>
      <w:shd w:val="clear" w:color="auto" w:fill="FFFFFF"/>
      <w:spacing w:before="100" w:beforeAutospacing="1" w:after="100" w:afterAutospacing="1"/>
    </w:pPr>
    <w:rPr>
      <w:rFonts w:eastAsia="Arial Unicode MS" w:cs="Arial"/>
      <w:szCs w:val="24"/>
    </w:rPr>
  </w:style>
  <w:style w:type="paragraph" w:customStyle="1" w:styleId="xl39">
    <w:name w:val="xl39"/>
    <w:basedOn w:val="Normal"/>
    <w:pPr>
      <w:pBdr>
        <w:top w:val="single" w:sz="4" w:space="0" w:color="auto"/>
        <w:left w:val="single" w:sz="4" w:space="0" w:color="auto"/>
      </w:pBdr>
      <w:shd w:val="clear" w:color="auto" w:fill="FFFFFF"/>
      <w:spacing w:before="100" w:beforeAutospacing="1" w:after="100" w:afterAutospacing="1"/>
      <w:jc w:val="right"/>
    </w:pPr>
    <w:rPr>
      <w:rFonts w:eastAsia="Arial Unicode MS" w:cs="Arial"/>
      <w:color w:val="008000"/>
      <w:szCs w:val="24"/>
    </w:rPr>
  </w:style>
  <w:style w:type="paragraph" w:customStyle="1" w:styleId="xl40">
    <w:name w:val="xl40"/>
    <w:basedOn w:val="Normal"/>
    <w:pPr>
      <w:pBdr>
        <w:right w:val="single" w:sz="4" w:space="0" w:color="auto"/>
      </w:pBdr>
      <w:shd w:val="clear" w:color="auto" w:fill="FFFFFF"/>
      <w:spacing w:before="100" w:beforeAutospacing="1" w:after="100" w:afterAutospacing="1"/>
    </w:pPr>
    <w:rPr>
      <w:rFonts w:eastAsia="Arial Unicode MS" w:cs="Arial"/>
      <w:szCs w:val="24"/>
    </w:rPr>
  </w:style>
  <w:style w:type="paragraph" w:customStyle="1" w:styleId="xl41">
    <w:name w:val="xl41"/>
    <w:basedOn w:val="Normal"/>
    <w:pPr>
      <w:shd w:val="clear" w:color="auto" w:fill="FFFFFF"/>
      <w:spacing w:before="100" w:beforeAutospacing="1" w:after="100" w:afterAutospacing="1"/>
      <w:jc w:val="center"/>
    </w:pPr>
    <w:rPr>
      <w:rFonts w:eastAsia="Arial Unicode MS" w:cs="Arial"/>
      <w:color w:val="FF0000"/>
      <w:szCs w:val="24"/>
    </w:rPr>
  </w:style>
  <w:style w:type="paragraph" w:customStyle="1" w:styleId="xl42">
    <w:name w:val="xl42"/>
    <w:basedOn w:val="Normal"/>
    <w:pPr>
      <w:pBdr>
        <w:left w:val="single" w:sz="4" w:space="0" w:color="auto"/>
      </w:pBdr>
      <w:shd w:val="clear" w:color="auto" w:fill="FFFFFF"/>
      <w:spacing w:before="100" w:beforeAutospacing="1" w:after="100" w:afterAutospacing="1"/>
      <w:jc w:val="right"/>
    </w:pPr>
    <w:rPr>
      <w:rFonts w:ascii="Arial Unicode MS" w:eastAsia="Arial Unicode MS" w:hAnsi="Arial Unicode MS" w:cs="Arial Unicode MS"/>
      <w:szCs w:val="24"/>
    </w:rPr>
  </w:style>
  <w:style w:type="paragraph" w:customStyle="1" w:styleId="xl43">
    <w:name w:val="xl43"/>
    <w:basedOn w:val="Normal"/>
    <w:pPr>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4">
    <w:name w:val="xl44"/>
    <w:basedOn w:val="Normal"/>
    <w:pPr>
      <w:pBdr>
        <w:top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5">
    <w:name w:val="xl45"/>
    <w:basedOn w:val="Normal"/>
    <w:pPr>
      <w:pBdr>
        <w:top w:val="single" w:sz="4" w:space="0" w:color="auto"/>
        <w:bottom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6">
    <w:name w:val="xl46"/>
    <w:basedOn w:val="Normal"/>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Arial Unicode MS" w:hAnsi="Times New Roman"/>
      <w:b/>
      <w:bCs/>
      <w:szCs w:val="24"/>
    </w:rPr>
  </w:style>
  <w:style w:type="paragraph" w:customStyle="1" w:styleId="xl47">
    <w:name w:val="xl47"/>
    <w:basedOn w:val="Normal"/>
    <w:pPr>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8">
    <w:name w:val="xl48"/>
    <w:basedOn w:val="Normal"/>
    <w:pPr>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9">
    <w:name w:val="xl49"/>
    <w:basedOn w:val="Normal"/>
    <w:pPr>
      <w:spacing w:before="100" w:beforeAutospacing="1" w:after="100" w:afterAutospacing="1"/>
    </w:pPr>
    <w:rPr>
      <w:rFonts w:eastAsia="Arial Unicode MS" w:cs="Arial"/>
      <w:b/>
      <w:bCs/>
      <w:szCs w:val="24"/>
    </w:rPr>
  </w:style>
  <w:style w:type="paragraph" w:customStyle="1" w:styleId="xl50">
    <w:name w:val="xl50"/>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szCs w:val="24"/>
    </w:rPr>
  </w:style>
  <w:style w:type="paragraph" w:customStyle="1" w:styleId="xl51">
    <w:name w:val="xl51"/>
    <w:basedOn w:val="Normal"/>
    <w:pPr>
      <w:pBdr>
        <w:left w:val="single" w:sz="4" w:space="0" w:color="auto"/>
        <w:bottom w:val="single" w:sz="4" w:space="0" w:color="auto"/>
      </w:pBdr>
      <w:shd w:val="clear" w:color="auto" w:fill="FFFFFF"/>
      <w:spacing w:before="100" w:beforeAutospacing="1" w:after="100" w:afterAutospacing="1"/>
      <w:jc w:val="center"/>
    </w:pPr>
    <w:rPr>
      <w:rFonts w:eastAsia="Arial Unicode MS" w:cs="Arial"/>
      <w:szCs w:val="24"/>
    </w:rPr>
  </w:style>
  <w:style w:type="paragraph" w:customStyle="1" w:styleId="xl52">
    <w:name w:val="xl52"/>
    <w:basedOn w:val="Normal"/>
    <w:pPr>
      <w:pBdr>
        <w:bottom w:val="single" w:sz="4" w:space="0" w:color="auto"/>
        <w:right w:val="single" w:sz="4" w:space="0" w:color="auto"/>
      </w:pBdr>
      <w:shd w:val="clear" w:color="auto" w:fill="FFFFFF"/>
      <w:spacing w:before="100" w:beforeAutospacing="1" w:after="100" w:afterAutospacing="1"/>
      <w:jc w:val="center"/>
    </w:pPr>
    <w:rPr>
      <w:rFonts w:eastAsia="Arial Unicode MS" w:cs="Arial"/>
      <w:szCs w:val="24"/>
    </w:rPr>
  </w:style>
  <w:style w:type="paragraph" w:customStyle="1" w:styleId="xl53">
    <w:name w:val="xl53"/>
    <w:basedOn w:val="Normal"/>
    <w:pPr>
      <w:pBdr>
        <w:left w:val="single" w:sz="4" w:space="0" w:color="auto"/>
      </w:pBdr>
      <w:shd w:val="clear" w:color="auto" w:fill="FFFFFF"/>
      <w:spacing w:before="100" w:beforeAutospacing="1" w:after="100" w:afterAutospacing="1"/>
      <w:jc w:val="center"/>
    </w:pPr>
    <w:rPr>
      <w:rFonts w:eastAsia="Arial Unicode MS" w:cs="Arial"/>
      <w:szCs w:val="24"/>
    </w:rPr>
  </w:style>
  <w:style w:type="paragraph" w:customStyle="1" w:styleId="xl54">
    <w:name w:val="xl54"/>
    <w:basedOn w:val="Normal"/>
    <w:pPr>
      <w:pBdr>
        <w:top w:val="single" w:sz="4" w:space="0" w:color="auto"/>
        <w:right w:val="single" w:sz="4" w:space="0" w:color="auto"/>
      </w:pBdr>
      <w:shd w:val="clear" w:color="auto" w:fill="FFFFFF"/>
      <w:spacing w:before="100" w:beforeAutospacing="1" w:after="100" w:afterAutospacing="1"/>
      <w:jc w:val="center"/>
    </w:pPr>
    <w:rPr>
      <w:rFonts w:eastAsia="Arial Unicode MS" w:cs="Arial"/>
      <w:szCs w:val="24"/>
    </w:rPr>
  </w:style>
  <w:style w:type="paragraph" w:customStyle="1" w:styleId="xl55">
    <w:name w:val="xl55"/>
    <w:basedOn w:val="Normal"/>
    <w:pPr>
      <w:pBdr>
        <w:top w:val="single" w:sz="4" w:space="0" w:color="auto"/>
        <w:left w:val="single" w:sz="4" w:space="0" w:color="auto"/>
      </w:pBdr>
      <w:shd w:val="clear" w:color="auto" w:fill="FFFFFF"/>
      <w:spacing w:before="100" w:beforeAutospacing="1" w:after="100" w:afterAutospacing="1"/>
      <w:jc w:val="center"/>
    </w:pPr>
    <w:rPr>
      <w:rFonts w:eastAsia="Arial Unicode MS" w:cs="Arial"/>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sid w:val="00BE5E37"/>
    <w:rPr>
      <w:color w:val="0000FF"/>
      <w:u w:val="single"/>
    </w:rPr>
  </w:style>
  <w:style w:type="paragraph" w:styleId="BalloonText">
    <w:name w:val="Balloon Text"/>
    <w:basedOn w:val="Normal"/>
    <w:link w:val="BalloonTextChar"/>
    <w:rsid w:val="00BE529A"/>
    <w:rPr>
      <w:rFonts w:ascii="Tahoma" w:hAnsi="Tahoma" w:cs="Tahoma"/>
      <w:sz w:val="16"/>
      <w:szCs w:val="16"/>
    </w:rPr>
  </w:style>
  <w:style w:type="character" w:customStyle="1" w:styleId="BalloonTextChar">
    <w:name w:val="Balloon Text Char"/>
    <w:link w:val="BalloonText"/>
    <w:rsid w:val="00BE529A"/>
    <w:rPr>
      <w:rFonts w:ascii="Tahoma" w:hAnsi="Tahoma" w:cs="Tahoma"/>
      <w:sz w:val="16"/>
      <w:szCs w:val="16"/>
    </w:rPr>
  </w:style>
  <w:style w:type="character" w:customStyle="1" w:styleId="FooterChar">
    <w:name w:val="Footer Char"/>
    <w:link w:val="Footer"/>
    <w:uiPriority w:val="99"/>
    <w:rsid w:val="004A2F61"/>
    <w:rPr>
      <w:rFonts w:ascii="Arial" w:hAnsi="Arial"/>
      <w:sz w:val="24"/>
    </w:rPr>
  </w:style>
  <w:style w:type="table" w:styleId="TableGrid">
    <w:name w:val="Table Grid"/>
    <w:basedOn w:val="TableNormal"/>
    <w:rsid w:val="00563F1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61B6"/>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uppressAutoHyphens/>
      <w:jc w:val="center"/>
      <w:outlineLvl w:val="0"/>
    </w:pPr>
    <w:rPr>
      <w:spacing w:val="-3"/>
      <w:sz w:val="48"/>
    </w:rPr>
  </w:style>
  <w:style w:type="paragraph" w:styleId="Heading2">
    <w:name w:val="heading 2"/>
    <w:basedOn w:val="Normal"/>
    <w:next w:val="Normal"/>
    <w:qFormat/>
    <w:pPr>
      <w:keepNext/>
      <w:tabs>
        <w:tab w:val="right" w:pos="8640"/>
      </w:tabs>
      <w:suppressAutoHyphens/>
      <w:outlineLvl w:val="1"/>
    </w:pPr>
    <w:rPr>
      <w:b/>
      <w:spacing w:val="-3"/>
    </w:rPr>
  </w:style>
  <w:style w:type="paragraph" w:styleId="Heading3">
    <w:name w:val="heading 3"/>
    <w:basedOn w:val="Normal"/>
    <w:next w:val="Normal"/>
    <w:qFormat/>
    <w:pPr>
      <w:keepNext/>
      <w:suppressAutoHyphens/>
      <w:jc w:val="center"/>
      <w:outlineLvl w:val="2"/>
    </w:pPr>
    <w:rPr>
      <w:sz w:val="32"/>
    </w:rPr>
  </w:style>
  <w:style w:type="paragraph" w:styleId="Heading4">
    <w:name w:val="heading 4"/>
    <w:basedOn w:val="Normal"/>
    <w:next w:val="Normal"/>
    <w:qFormat/>
    <w:pPr>
      <w:keepNext/>
      <w:suppressAutoHyphens/>
      <w:jc w:val="both"/>
      <w:outlineLvl w:val="3"/>
    </w:pPr>
    <w:rPr>
      <w:b/>
      <w:spacing w:val="-3"/>
    </w:rPr>
  </w:style>
  <w:style w:type="paragraph" w:styleId="Heading5">
    <w:name w:val="heading 5"/>
    <w:basedOn w:val="Normal"/>
    <w:next w:val="Normal"/>
    <w:qFormat/>
    <w:pPr>
      <w:keepNext/>
      <w:suppressAutoHyphens/>
      <w:ind w:hanging="1440"/>
      <w:jc w:val="both"/>
      <w:outlineLvl w:val="4"/>
    </w:pPr>
    <w:rPr>
      <w:b/>
      <w:spacing w:val="-3"/>
    </w:rPr>
  </w:style>
  <w:style w:type="paragraph" w:styleId="Heading6">
    <w:name w:val="heading 6"/>
    <w:basedOn w:val="Normal"/>
    <w:next w:val="Normal"/>
    <w:qFormat/>
    <w:pPr>
      <w:keepNext/>
      <w:suppressAutoHyphens/>
      <w:ind w:firstLine="720"/>
      <w:jc w:val="both"/>
      <w:outlineLvl w:val="5"/>
    </w:pPr>
    <w:rPr>
      <w:b/>
      <w:spacing w:val="-3"/>
    </w:rPr>
  </w:style>
  <w:style w:type="paragraph" w:styleId="Heading7">
    <w:name w:val="heading 7"/>
    <w:basedOn w:val="Normal"/>
    <w:next w:val="Normal"/>
    <w:qFormat/>
    <w:pPr>
      <w:keepNext/>
      <w:ind w:left="720"/>
      <w:outlineLvl w:val="6"/>
    </w:pPr>
    <w:rPr>
      <w:b/>
    </w:rPr>
  </w:style>
  <w:style w:type="paragraph" w:styleId="Heading8">
    <w:name w:val="heading 8"/>
    <w:basedOn w:val="Normal"/>
    <w:next w:val="Normal"/>
    <w:qFormat/>
    <w:pPr>
      <w:keepNext/>
      <w:numPr>
        <w:numId w:val="5"/>
      </w:numPr>
      <w:tabs>
        <w:tab w:val="clear" w:pos="1080"/>
      </w:tabs>
      <w:suppressAutoHyphens/>
      <w:ind w:firstLine="0"/>
      <w:jc w:val="both"/>
      <w:outlineLvl w:val="7"/>
    </w:pPr>
    <w:rPr>
      <w:b/>
      <w:spacing w:val="-3"/>
    </w:rPr>
  </w:style>
  <w:style w:type="paragraph" w:styleId="Heading9">
    <w:name w:val="heading 9"/>
    <w:basedOn w:val="Normal"/>
    <w:next w:val="Normal"/>
    <w:qFormat/>
    <w:pPr>
      <w:keepNext/>
      <w:suppressAutoHyphens/>
      <w:ind w:left="1440"/>
      <w:jc w:val="both"/>
      <w:outlineLvl w:val="8"/>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rFonts w:ascii="Courier" w:hAnsi="Courier"/>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60"/>
    </w:pPr>
    <w:rPr>
      <w:rFonts w:ascii="Times New Roman" w:hAnsi="Times New Roman"/>
      <w:sz w:val="20"/>
    </w:rPr>
  </w:style>
  <w:style w:type="paragraph" w:styleId="BodyTextIndent">
    <w:name w:val="Body Text Indent"/>
    <w:basedOn w:val="Normal"/>
    <w:pPr>
      <w:suppressAutoHyphens/>
      <w:ind w:left="720"/>
      <w:jc w:val="both"/>
    </w:pPr>
    <w:rPr>
      <w:spacing w:val="-3"/>
    </w:rPr>
  </w:style>
  <w:style w:type="paragraph" w:styleId="Title">
    <w:name w:val="Title"/>
    <w:basedOn w:val="Normal"/>
    <w:qFormat/>
    <w:pPr>
      <w:suppressAutoHyphens/>
      <w:jc w:val="center"/>
    </w:pPr>
    <w:rPr>
      <w:b/>
      <w:spacing w:val="-3"/>
      <w:sz w:val="32"/>
    </w:rPr>
  </w:style>
  <w:style w:type="paragraph" w:styleId="BodyTextIndent2">
    <w:name w:val="Body Text Indent 2"/>
    <w:basedOn w:val="Normal"/>
    <w:pPr>
      <w:ind w:left="1440"/>
    </w:pPr>
    <w:rPr>
      <w:snapToGrid w:val="0"/>
    </w:rPr>
  </w:style>
  <w:style w:type="paragraph" w:styleId="BodyTextIndent3">
    <w:name w:val="Body Text Indent 3"/>
    <w:basedOn w:val="Normal"/>
    <w:pPr>
      <w:suppressAutoHyphens/>
      <w:ind w:left="1440"/>
      <w:jc w:val="both"/>
    </w:pPr>
    <w:rPr>
      <w:spacing w:val="-3"/>
    </w:rPr>
  </w:style>
  <w:style w:type="paragraph" w:styleId="BodyText2">
    <w:name w:val="Body Text 2"/>
    <w:basedOn w:val="Normal"/>
    <w:pPr>
      <w:suppressAutoHyphens/>
      <w:spacing w:before="90"/>
      <w:jc w:val="center"/>
    </w:pPr>
    <w:rPr>
      <w:spacing w:val="-3"/>
    </w:rPr>
  </w:style>
  <w:style w:type="paragraph" w:styleId="BodyText3">
    <w:name w:val="Body Text 3"/>
    <w:basedOn w:val="Normal"/>
    <w:pPr>
      <w:suppressAutoHyphens/>
      <w:jc w:val="both"/>
    </w:pPr>
    <w:rPr>
      <w:spacing w:val="-3"/>
    </w:rPr>
  </w:style>
  <w:style w:type="paragraph" w:styleId="Caption">
    <w:name w:val="caption"/>
    <w:basedOn w:val="Normal"/>
    <w:next w:val="Normal"/>
    <w:qFormat/>
    <w:pPr>
      <w:suppressAutoHyphens/>
      <w:ind w:left="1440"/>
      <w:jc w:val="both"/>
    </w:pPr>
    <w:rPr>
      <w:b/>
      <w:szCs w:val="24"/>
    </w:rPr>
  </w:style>
  <w:style w:type="paragraph" w:styleId="EndnoteText">
    <w:name w:val="endnote text"/>
    <w:basedOn w:val="Normal"/>
    <w:semiHidden/>
    <w:rPr>
      <w:spacing w:val="-3"/>
    </w:rPr>
  </w:style>
  <w:style w:type="character" w:customStyle="1" w:styleId="emailstyle15">
    <w:name w:val="emailstyle15"/>
    <w:rPr>
      <w:rFonts w:ascii="Arial" w:hAnsi="Arial" w:cs="Arial"/>
      <w:color w:val="000000"/>
      <w:sz w:val="20"/>
    </w:rPr>
  </w:style>
  <w:style w:type="paragraph" w:customStyle="1" w:styleId="font5">
    <w:name w:val="font5"/>
    <w:basedOn w:val="Normal"/>
    <w:pPr>
      <w:spacing w:before="100" w:beforeAutospacing="1" w:after="100" w:afterAutospacing="1"/>
    </w:pPr>
    <w:rPr>
      <w:rFonts w:eastAsia="Arial Unicode MS" w:cs="Arial"/>
      <w:b/>
      <w:bCs/>
      <w:sz w:val="20"/>
    </w:rPr>
  </w:style>
  <w:style w:type="paragraph" w:customStyle="1" w:styleId="font6">
    <w:name w:val="font6"/>
    <w:basedOn w:val="Normal"/>
    <w:pPr>
      <w:spacing w:before="100" w:beforeAutospacing="1" w:after="100" w:afterAutospacing="1"/>
    </w:pPr>
    <w:rPr>
      <w:rFonts w:eastAsia="Arial Unicode MS" w:cs="Arial"/>
      <w:b/>
      <w:bCs/>
      <w:sz w:val="14"/>
      <w:szCs w:val="14"/>
    </w:rPr>
  </w:style>
  <w:style w:type="paragraph" w:customStyle="1" w:styleId="font7">
    <w:name w:val="font7"/>
    <w:basedOn w:val="Normal"/>
    <w:pPr>
      <w:spacing w:before="100" w:beforeAutospacing="1" w:after="100" w:afterAutospacing="1"/>
    </w:pPr>
    <w:rPr>
      <w:rFonts w:eastAsia="Arial Unicode MS" w:cs="Arial"/>
      <w:sz w:val="20"/>
    </w:rPr>
  </w:style>
  <w:style w:type="paragraph" w:customStyle="1" w:styleId="xl25">
    <w:name w:val="xl25"/>
    <w:basedOn w:val="Normal"/>
    <w:pPr>
      <w:shd w:val="clear" w:color="auto" w:fill="C0C0C0"/>
      <w:spacing w:before="100" w:beforeAutospacing="1" w:after="100" w:afterAutospacing="1"/>
    </w:pPr>
    <w:rPr>
      <w:rFonts w:eastAsia="Arial Unicode MS" w:cs="Arial"/>
      <w:b/>
      <w:bCs/>
      <w:szCs w:val="24"/>
    </w:rPr>
  </w:style>
  <w:style w:type="paragraph" w:customStyle="1" w:styleId="xl26">
    <w:name w:val="xl26"/>
    <w:basedOn w:val="Normal"/>
    <w:pPr>
      <w:shd w:val="clear" w:color="auto" w:fill="FFFFFF"/>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al"/>
    <w:pPr>
      <w:pBdr>
        <w:bottom w:val="single" w:sz="4" w:space="0" w:color="auto"/>
      </w:pBdr>
      <w:shd w:val="clear" w:color="auto" w:fill="FFFFFF"/>
      <w:spacing w:before="100" w:beforeAutospacing="1" w:after="100" w:afterAutospacing="1"/>
      <w:jc w:val="right"/>
    </w:pPr>
    <w:rPr>
      <w:rFonts w:eastAsia="Arial Unicode MS" w:cs="Arial"/>
      <w:color w:val="FF0000"/>
      <w:szCs w:val="24"/>
    </w:rPr>
  </w:style>
  <w:style w:type="paragraph" w:customStyle="1" w:styleId="xl28">
    <w:name w:val="xl28"/>
    <w:basedOn w:val="Normal"/>
    <w:pPr>
      <w:pBdr>
        <w:bottom w:val="single" w:sz="4" w:space="0" w:color="auto"/>
      </w:pBdr>
      <w:shd w:val="clear" w:color="auto" w:fill="FFFFFF"/>
      <w:spacing w:before="100" w:beforeAutospacing="1" w:after="100" w:afterAutospacing="1"/>
    </w:pPr>
    <w:rPr>
      <w:rFonts w:eastAsia="Arial Unicode MS" w:cs="Arial"/>
      <w:szCs w:val="24"/>
    </w:rPr>
  </w:style>
  <w:style w:type="paragraph" w:customStyle="1" w:styleId="xl29">
    <w:name w:val="xl29"/>
    <w:basedOn w:val="Normal"/>
    <w:pPr>
      <w:pBdr>
        <w:left w:val="single" w:sz="4" w:space="0" w:color="auto"/>
        <w:bottom w:val="single" w:sz="4" w:space="0" w:color="auto"/>
      </w:pBdr>
      <w:shd w:val="clear" w:color="auto" w:fill="FFFFFF"/>
      <w:spacing w:before="100" w:beforeAutospacing="1" w:after="100" w:afterAutospacing="1"/>
      <w:jc w:val="right"/>
    </w:pPr>
    <w:rPr>
      <w:rFonts w:eastAsia="Arial Unicode MS" w:cs="Arial"/>
      <w:color w:val="FF0000"/>
      <w:szCs w:val="24"/>
    </w:rPr>
  </w:style>
  <w:style w:type="paragraph" w:customStyle="1" w:styleId="xl30">
    <w:name w:val="xl30"/>
    <w:basedOn w:val="Normal"/>
    <w:pPr>
      <w:pBdr>
        <w:bottom w:val="single" w:sz="4" w:space="0" w:color="auto"/>
        <w:right w:val="single" w:sz="4" w:space="0" w:color="auto"/>
      </w:pBdr>
      <w:shd w:val="clear" w:color="auto" w:fill="FFFFFF"/>
      <w:spacing w:before="100" w:beforeAutospacing="1" w:after="100" w:afterAutospacing="1"/>
    </w:pPr>
    <w:rPr>
      <w:rFonts w:eastAsia="Arial Unicode MS" w:cs="Arial"/>
      <w:szCs w:val="24"/>
    </w:rPr>
  </w:style>
  <w:style w:type="paragraph" w:customStyle="1" w:styleId="xl31">
    <w:name w:val="xl31"/>
    <w:basedOn w:val="Normal"/>
    <w:pPr>
      <w:pBdr>
        <w:left w:val="single" w:sz="4" w:space="0" w:color="auto"/>
        <w:bottom w:val="single" w:sz="4" w:space="0" w:color="auto"/>
      </w:pBdr>
      <w:shd w:val="clear" w:color="auto" w:fill="FFFFFF"/>
      <w:spacing w:before="100" w:beforeAutospacing="1" w:after="100" w:afterAutospacing="1"/>
      <w:jc w:val="right"/>
    </w:pPr>
    <w:rPr>
      <w:rFonts w:eastAsia="Arial Unicode MS" w:cs="Arial"/>
      <w:color w:val="008000"/>
      <w:szCs w:val="24"/>
    </w:rPr>
  </w:style>
  <w:style w:type="paragraph" w:customStyle="1" w:styleId="xl32">
    <w:name w:val="xl32"/>
    <w:basedOn w:val="Normal"/>
    <w:pPr>
      <w:pBdr>
        <w:bottom w:val="single" w:sz="4" w:space="0" w:color="auto"/>
        <w:right w:val="single" w:sz="4" w:space="0" w:color="auto"/>
      </w:pBdr>
      <w:shd w:val="clear" w:color="auto" w:fill="FFFFFF"/>
      <w:spacing w:before="100" w:beforeAutospacing="1" w:after="100" w:afterAutospacing="1"/>
    </w:pPr>
    <w:rPr>
      <w:rFonts w:eastAsia="Arial Unicode MS" w:cs="Arial"/>
      <w:color w:val="000000"/>
      <w:szCs w:val="24"/>
    </w:rPr>
  </w:style>
  <w:style w:type="paragraph" w:customStyle="1" w:styleId="xl33">
    <w:name w:val="xl33"/>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szCs w:val="24"/>
    </w:rPr>
  </w:style>
  <w:style w:type="paragraph" w:customStyle="1" w:styleId="xl34">
    <w:name w:val="xl34"/>
    <w:basedOn w:val="Normal"/>
    <w:pPr>
      <w:pBdr>
        <w:top w:val="single" w:sz="4" w:space="0" w:color="auto"/>
      </w:pBdr>
      <w:shd w:val="clear" w:color="auto" w:fill="FFFFFF"/>
      <w:spacing w:before="100" w:beforeAutospacing="1" w:after="100" w:afterAutospacing="1"/>
      <w:jc w:val="right"/>
    </w:pPr>
    <w:rPr>
      <w:rFonts w:ascii="Arial Unicode MS" w:eastAsia="Arial Unicode MS" w:hAnsi="Arial Unicode MS" w:cs="Arial Unicode MS"/>
      <w:szCs w:val="24"/>
    </w:rPr>
  </w:style>
  <w:style w:type="paragraph" w:customStyle="1" w:styleId="xl35">
    <w:name w:val="xl35"/>
    <w:basedOn w:val="Normal"/>
    <w:pPr>
      <w:pBdr>
        <w:top w:val="single" w:sz="4" w:space="0" w:color="auto"/>
        <w:right w:val="single" w:sz="4" w:space="0" w:color="auto"/>
      </w:pBdr>
      <w:shd w:val="clear" w:color="auto" w:fill="FFFFFF"/>
      <w:spacing w:before="100" w:beforeAutospacing="1" w:after="100" w:afterAutospacing="1"/>
    </w:pPr>
    <w:rPr>
      <w:rFonts w:eastAsia="Arial Unicode MS" w:cs="Arial"/>
      <w:szCs w:val="24"/>
    </w:rPr>
  </w:style>
  <w:style w:type="paragraph" w:customStyle="1" w:styleId="xl36">
    <w:name w:val="xl36"/>
    <w:basedOn w:val="Normal"/>
    <w:pPr>
      <w:pBdr>
        <w:right w:val="single" w:sz="4" w:space="0" w:color="auto"/>
      </w:pBdr>
      <w:shd w:val="clear" w:color="auto" w:fill="FFFFFF"/>
      <w:spacing w:before="100" w:beforeAutospacing="1" w:after="100" w:afterAutospacing="1"/>
    </w:pPr>
    <w:rPr>
      <w:rFonts w:eastAsia="Arial Unicode MS" w:cs="Arial"/>
      <w:color w:val="FF0000"/>
      <w:szCs w:val="24"/>
    </w:rPr>
  </w:style>
  <w:style w:type="paragraph" w:customStyle="1" w:styleId="xl37">
    <w:name w:val="xl37"/>
    <w:basedOn w:val="Normal"/>
    <w:pPr>
      <w:pBdr>
        <w:top w:val="single" w:sz="4" w:space="0" w:color="auto"/>
        <w:left w:val="single" w:sz="4" w:space="0" w:color="auto"/>
      </w:pBdr>
      <w:shd w:val="clear" w:color="auto" w:fill="FFFFFF"/>
      <w:spacing w:before="100" w:beforeAutospacing="1" w:after="100" w:afterAutospacing="1"/>
      <w:jc w:val="right"/>
    </w:pPr>
    <w:rPr>
      <w:rFonts w:eastAsia="Arial Unicode MS" w:cs="Arial"/>
      <w:color w:val="008000"/>
      <w:szCs w:val="24"/>
    </w:rPr>
  </w:style>
  <w:style w:type="paragraph" w:customStyle="1" w:styleId="xl38">
    <w:name w:val="xl38"/>
    <w:basedOn w:val="Normal"/>
    <w:pPr>
      <w:pBdr>
        <w:right w:val="single" w:sz="4" w:space="0" w:color="auto"/>
      </w:pBdr>
      <w:shd w:val="clear" w:color="auto" w:fill="FFFFFF"/>
      <w:spacing w:before="100" w:beforeAutospacing="1" w:after="100" w:afterAutospacing="1"/>
    </w:pPr>
    <w:rPr>
      <w:rFonts w:eastAsia="Arial Unicode MS" w:cs="Arial"/>
      <w:szCs w:val="24"/>
    </w:rPr>
  </w:style>
  <w:style w:type="paragraph" w:customStyle="1" w:styleId="xl39">
    <w:name w:val="xl39"/>
    <w:basedOn w:val="Normal"/>
    <w:pPr>
      <w:pBdr>
        <w:top w:val="single" w:sz="4" w:space="0" w:color="auto"/>
        <w:left w:val="single" w:sz="4" w:space="0" w:color="auto"/>
      </w:pBdr>
      <w:shd w:val="clear" w:color="auto" w:fill="FFFFFF"/>
      <w:spacing w:before="100" w:beforeAutospacing="1" w:after="100" w:afterAutospacing="1"/>
      <w:jc w:val="right"/>
    </w:pPr>
    <w:rPr>
      <w:rFonts w:eastAsia="Arial Unicode MS" w:cs="Arial"/>
      <w:color w:val="008000"/>
      <w:szCs w:val="24"/>
    </w:rPr>
  </w:style>
  <w:style w:type="paragraph" w:customStyle="1" w:styleId="xl40">
    <w:name w:val="xl40"/>
    <w:basedOn w:val="Normal"/>
    <w:pPr>
      <w:pBdr>
        <w:right w:val="single" w:sz="4" w:space="0" w:color="auto"/>
      </w:pBdr>
      <w:shd w:val="clear" w:color="auto" w:fill="FFFFFF"/>
      <w:spacing w:before="100" w:beforeAutospacing="1" w:after="100" w:afterAutospacing="1"/>
    </w:pPr>
    <w:rPr>
      <w:rFonts w:eastAsia="Arial Unicode MS" w:cs="Arial"/>
      <w:szCs w:val="24"/>
    </w:rPr>
  </w:style>
  <w:style w:type="paragraph" w:customStyle="1" w:styleId="xl41">
    <w:name w:val="xl41"/>
    <w:basedOn w:val="Normal"/>
    <w:pPr>
      <w:shd w:val="clear" w:color="auto" w:fill="FFFFFF"/>
      <w:spacing w:before="100" w:beforeAutospacing="1" w:after="100" w:afterAutospacing="1"/>
      <w:jc w:val="center"/>
    </w:pPr>
    <w:rPr>
      <w:rFonts w:eastAsia="Arial Unicode MS" w:cs="Arial"/>
      <w:color w:val="FF0000"/>
      <w:szCs w:val="24"/>
    </w:rPr>
  </w:style>
  <w:style w:type="paragraph" w:customStyle="1" w:styleId="xl42">
    <w:name w:val="xl42"/>
    <w:basedOn w:val="Normal"/>
    <w:pPr>
      <w:pBdr>
        <w:left w:val="single" w:sz="4" w:space="0" w:color="auto"/>
      </w:pBdr>
      <w:shd w:val="clear" w:color="auto" w:fill="FFFFFF"/>
      <w:spacing w:before="100" w:beforeAutospacing="1" w:after="100" w:afterAutospacing="1"/>
      <w:jc w:val="right"/>
    </w:pPr>
    <w:rPr>
      <w:rFonts w:ascii="Arial Unicode MS" w:eastAsia="Arial Unicode MS" w:hAnsi="Arial Unicode MS" w:cs="Arial Unicode MS"/>
      <w:szCs w:val="24"/>
    </w:rPr>
  </w:style>
  <w:style w:type="paragraph" w:customStyle="1" w:styleId="xl43">
    <w:name w:val="xl43"/>
    <w:basedOn w:val="Normal"/>
    <w:pPr>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4">
    <w:name w:val="xl44"/>
    <w:basedOn w:val="Normal"/>
    <w:pPr>
      <w:pBdr>
        <w:top w:val="single" w:sz="4" w:space="0" w:color="auto"/>
        <w:bottom w:val="single" w:sz="4" w:space="0" w:color="auto"/>
        <w:right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5">
    <w:name w:val="xl45"/>
    <w:basedOn w:val="Normal"/>
    <w:pPr>
      <w:pBdr>
        <w:top w:val="single" w:sz="4" w:space="0" w:color="auto"/>
        <w:bottom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6">
    <w:name w:val="xl46"/>
    <w:basedOn w:val="Normal"/>
    <w:pPr>
      <w:pBdr>
        <w:top w:val="single" w:sz="4" w:space="0" w:color="auto"/>
        <w:bottom w:val="single" w:sz="4" w:space="0" w:color="auto"/>
        <w:right w:val="single" w:sz="4" w:space="0" w:color="auto"/>
      </w:pBdr>
      <w:shd w:val="clear" w:color="auto" w:fill="C0C0C0"/>
      <w:spacing w:before="100" w:beforeAutospacing="1" w:after="100" w:afterAutospacing="1"/>
    </w:pPr>
    <w:rPr>
      <w:rFonts w:ascii="Times New Roman" w:eastAsia="Arial Unicode MS" w:hAnsi="Times New Roman"/>
      <w:b/>
      <w:bCs/>
      <w:szCs w:val="24"/>
    </w:rPr>
  </w:style>
  <w:style w:type="paragraph" w:customStyle="1" w:styleId="xl47">
    <w:name w:val="xl47"/>
    <w:basedOn w:val="Normal"/>
    <w:pPr>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8">
    <w:name w:val="xl48"/>
    <w:basedOn w:val="Normal"/>
    <w:pPr>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Times New Roman" w:eastAsia="Arial Unicode MS" w:hAnsi="Times New Roman"/>
      <w:b/>
      <w:bCs/>
      <w:szCs w:val="24"/>
    </w:rPr>
  </w:style>
  <w:style w:type="paragraph" w:customStyle="1" w:styleId="xl49">
    <w:name w:val="xl49"/>
    <w:basedOn w:val="Normal"/>
    <w:pPr>
      <w:spacing w:before="100" w:beforeAutospacing="1" w:after="100" w:afterAutospacing="1"/>
    </w:pPr>
    <w:rPr>
      <w:rFonts w:eastAsia="Arial Unicode MS" w:cs="Arial"/>
      <w:b/>
      <w:bCs/>
      <w:szCs w:val="24"/>
    </w:rPr>
  </w:style>
  <w:style w:type="paragraph" w:customStyle="1" w:styleId="xl50">
    <w:name w:val="xl50"/>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szCs w:val="24"/>
    </w:rPr>
  </w:style>
  <w:style w:type="paragraph" w:customStyle="1" w:styleId="xl51">
    <w:name w:val="xl51"/>
    <w:basedOn w:val="Normal"/>
    <w:pPr>
      <w:pBdr>
        <w:left w:val="single" w:sz="4" w:space="0" w:color="auto"/>
        <w:bottom w:val="single" w:sz="4" w:space="0" w:color="auto"/>
      </w:pBdr>
      <w:shd w:val="clear" w:color="auto" w:fill="FFFFFF"/>
      <w:spacing w:before="100" w:beforeAutospacing="1" w:after="100" w:afterAutospacing="1"/>
      <w:jc w:val="center"/>
    </w:pPr>
    <w:rPr>
      <w:rFonts w:eastAsia="Arial Unicode MS" w:cs="Arial"/>
      <w:szCs w:val="24"/>
    </w:rPr>
  </w:style>
  <w:style w:type="paragraph" w:customStyle="1" w:styleId="xl52">
    <w:name w:val="xl52"/>
    <w:basedOn w:val="Normal"/>
    <w:pPr>
      <w:pBdr>
        <w:bottom w:val="single" w:sz="4" w:space="0" w:color="auto"/>
        <w:right w:val="single" w:sz="4" w:space="0" w:color="auto"/>
      </w:pBdr>
      <w:shd w:val="clear" w:color="auto" w:fill="FFFFFF"/>
      <w:spacing w:before="100" w:beforeAutospacing="1" w:after="100" w:afterAutospacing="1"/>
      <w:jc w:val="center"/>
    </w:pPr>
    <w:rPr>
      <w:rFonts w:eastAsia="Arial Unicode MS" w:cs="Arial"/>
      <w:szCs w:val="24"/>
    </w:rPr>
  </w:style>
  <w:style w:type="paragraph" w:customStyle="1" w:styleId="xl53">
    <w:name w:val="xl53"/>
    <w:basedOn w:val="Normal"/>
    <w:pPr>
      <w:pBdr>
        <w:left w:val="single" w:sz="4" w:space="0" w:color="auto"/>
      </w:pBdr>
      <w:shd w:val="clear" w:color="auto" w:fill="FFFFFF"/>
      <w:spacing w:before="100" w:beforeAutospacing="1" w:after="100" w:afterAutospacing="1"/>
      <w:jc w:val="center"/>
    </w:pPr>
    <w:rPr>
      <w:rFonts w:eastAsia="Arial Unicode MS" w:cs="Arial"/>
      <w:szCs w:val="24"/>
    </w:rPr>
  </w:style>
  <w:style w:type="paragraph" w:customStyle="1" w:styleId="xl54">
    <w:name w:val="xl54"/>
    <w:basedOn w:val="Normal"/>
    <w:pPr>
      <w:pBdr>
        <w:top w:val="single" w:sz="4" w:space="0" w:color="auto"/>
        <w:right w:val="single" w:sz="4" w:space="0" w:color="auto"/>
      </w:pBdr>
      <w:shd w:val="clear" w:color="auto" w:fill="FFFFFF"/>
      <w:spacing w:before="100" w:beforeAutospacing="1" w:after="100" w:afterAutospacing="1"/>
      <w:jc w:val="center"/>
    </w:pPr>
    <w:rPr>
      <w:rFonts w:eastAsia="Arial Unicode MS" w:cs="Arial"/>
      <w:szCs w:val="24"/>
    </w:rPr>
  </w:style>
  <w:style w:type="paragraph" w:customStyle="1" w:styleId="xl55">
    <w:name w:val="xl55"/>
    <w:basedOn w:val="Normal"/>
    <w:pPr>
      <w:pBdr>
        <w:top w:val="single" w:sz="4" w:space="0" w:color="auto"/>
        <w:left w:val="single" w:sz="4" w:space="0" w:color="auto"/>
      </w:pBdr>
      <w:shd w:val="clear" w:color="auto" w:fill="FFFFFF"/>
      <w:spacing w:before="100" w:beforeAutospacing="1" w:after="100" w:afterAutospacing="1"/>
      <w:jc w:val="center"/>
    </w:pPr>
    <w:rPr>
      <w:rFonts w:eastAsia="Arial Unicode MS" w:cs="Arial"/>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styleId="Hyperlink">
    <w:name w:val="Hyperlink"/>
    <w:rsid w:val="00BE5E37"/>
    <w:rPr>
      <w:color w:val="0000FF"/>
      <w:u w:val="single"/>
    </w:rPr>
  </w:style>
  <w:style w:type="paragraph" w:styleId="BalloonText">
    <w:name w:val="Balloon Text"/>
    <w:basedOn w:val="Normal"/>
    <w:link w:val="BalloonTextChar"/>
    <w:rsid w:val="00BE529A"/>
    <w:rPr>
      <w:rFonts w:ascii="Tahoma" w:hAnsi="Tahoma" w:cs="Tahoma"/>
      <w:sz w:val="16"/>
      <w:szCs w:val="16"/>
    </w:rPr>
  </w:style>
  <w:style w:type="character" w:customStyle="1" w:styleId="BalloonTextChar">
    <w:name w:val="Balloon Text Char"/>
    <w:link w:val="BalloonText"/>
    <w:rsid w:val="00BE529A"/>
    <w:rPr>
      <w:rFonts w:ascii="Tahoma" w:hAnsi="Tahoma" w:cs="Tahoma"/>
      <w:sz w:val="16"/>
      <w:szCs w:val="16"/>
    </w:rPr>
  </w:style>
  <w:style w:type="character" w:customStyle="1" w:styleId="FooterChar">
    <w:name w:val="Footer Char"/>
    <w:link w:val="Footer"/>
    <w:uiPriority w:val="99"/>
    <w:rsid w:val="004A2F61"/>
    <w:rPr>
      <w:rFonts w:ascii="Arial" w:hAnsi="Arial"/>
      <w:sz w:val="24"/>
    </w:rPr>
  </w:style>
  <w:style w:type="table" w:styleId="TableGrid">
    <w:name w:val="Table Grid"/>
    <w:basedOn w:val="TableNormal"/>
    <w:rsid w:val="00563F1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561B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885551">
      <w:bodyDiv w:val="1"/>
      <w:marLeft w:val="0"/>
      <w:marRight w:val="0"/>
      <w:marTop w:val="0"/>
      <w:marBottom w:val="0"/>
      <w:divBdr>
        <w:top w:val="none" w:sz="0" w:space="0" w:color="auto"/>
        <w:left w:val="none" w:sz="0" w:space="0" w:color="auto"/>
        <w:bottom w:val="none" w:sz="0" w:space="0" w:color="auto"/>
        <w:right w:val="none" w:sz="0" w:space="0" w:color="auto"/>
      </w:divBdr>
    </w:div>
    <w:div w:id="20795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SOUTH1\..\Intranet_files\thaoc\shared\Intranet_files\PER\policies\dustyrose\Intranet_files\PER\policies\dustyrose\Intranet_Files\PER\policies\fyi\documents\71%20-%20School%20Notice.doc" TargetMode="External"/><Relationship Id="rId26" Type="http://schemas.openxmlformats.org/officeDocument/2006/relationships/oleObject" Target="embeddings/Microsoft_Excel_97-2003_Worksheet1.xls"/><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E401-DB42-42BC-9B52-1C8B6D24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11338</Words>
  <Characters>64630</Characters>
  <Application>Microsoft Office Word</Application>
  <DocSecurity>4</DocSecurity>
  <Lines>538</Lines>
  <Paragraphs>151</Paragraphs>
  <ScaleCrop>false</ScaleCrop>
  <HeadingPairs>
    <vt:vector size="2" baseType="variant">
      <vt:variant>
        <vt:lpstr>Title</vt:lpstr>
      </vt:variant>
      <vt:variant>
        <vt:i4>1</vt:i4>
      </vt:variant>
    </vt:vector>
  </HeadingPairs>
  <TitlesOfParts>
    <vt:vector size="1" baseType="lpstr">
      <vt:lpstr>Soil Remediation served by IC Engine GEAR 9</vt:lpstr>
    </vt:vector>
  </TitlesOfParts>
  <Company>SJVUAPCD</Company>
  <LinksUpToDate>false</LinksUpToDate>
  <CharactersWithSpaces>75817</CharactersWithSpaces>
  <SharedDoc>false</SharedDoc>
  <HLinks>
    <vt:vector size="6" baseType="variant">
      <vt:variant>
        <vt:i4>6815800</vt:i4>
      </vt:variant>
      <vt:variant>
        <vt:i4>15</vt:i4>
      </vt:variant>
      <vt:variant>
        <vt:i4>0</vt:i4>
      </vt:variant>
      <vt:variant>
        <vt:i4>5</vt:i4>
      </vt:variant>
      <vt:variant>
        <vt:lpwstr>../../../../../../Intranet_files/thaoc/shared/Intranet_files/PER/policies/dustyrose/Intranet_files/PER/policies/dustyrose/Intranet_Files/PER/policies/fyi/documents/71 - School Notice.doc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Remediation served by IC Engine GEAR 9</dc:title>
  <dc:subject>Soil remediation served by IC engine</dc:subject>
  <dc:creator>Steve.Leonard@valleyair.org</dc:creator>
  <dc:description>updated Mar 4, 2014</dc:description>
  <cp:lastModifiedBy>Anton Simanov</cp:lastModifiedBy>
  <cp:revision>2</cp:revision>
  <cp:lastPrinted>2014-03-04T17:59:00Z</cp:lastPrinted>
  <dcterms:created xsi:type="dcterms:W3CDTF">2014-03-11T18:32:00Z</dcterms:created>
  <dcterms:modified xsi:type="dcterms:W3CDTF">2014-03-11T18:32:00Z</dcterms:modified>
</cp:coreProperties>
</file>